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B" w:rsidRDefault="001C00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00FB" w:rsidRDefault="001C00FB">
      <w:pPr>
        <w:pStyle w:val="ConsPlusNormal"/>
        <w:jc w:val="both"/>
        <w:outlineLvl w:val="0"/>
      </w:pPr>
    </w:p>
    <w:p w:rsidR="001C00FB" w:rsidRDefault="001C00F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C00FB" w:rsidRDefault="001C00FB">
      <w:pPr>
        <w:pStyle w:val="ConsPlusTitle"/>
        <w:jc w:val="both"/>
      </w:pPr>
    </w:p>
    <w:p w:rsidR="001C00FB" w:rsidRDefault="001C00FB">
      <w:pPr>
        <w:pStyle w:val="ConsPlusTitle"/>
        <w:jc w:val="center"/>
      </w:pPr>
      <w:r>
        <w:t>ПОСТАНОВЛЕНИЕ</w:t>
      </w:r>
    </w:p>
    <w:p w:rsidR="001C00FB" w:rsidRDefault="001C00FB">
      <w:pPr>
        <w:pStyle w:val="ConsPlusTitle"/>
        <w:jc w:val="center"/>
      </w:pPr>
      <w:r>
        <w:t>от 15 апреля 2020 г. N 173-П</w:t>
      </w:r>
    </w:p>
    <w:p w:rsidR="001C00FB" w:rsidRDefault="001C00FB">
      <w:pPr>
        <w:pStyle w:val="ConsPlusTitle"/>
        <w:jc w:val="both"/>
      </w:pPr>
    </w:p>
    <w:p w:rsidR="001C00FB" w:rsidRDefault="001C00FB">
      <w:pPr>
        <w:pStyle w:val="ConsPlusTitle"/>
        <w:jc w:val="center"/>
      </w:pPr>
      <w:r>
        <w:t>ОБ УТВЕРЖДЕНИИ ПРАВИЛ ОПРЕДЕЛЕНИЯ ОБЪЕМА И ПРЕДОСТАВЛЕНИЯ</w:t>
      </w:r>
    </w:p>
    <w:p w:rsidR="001C00FB" w:rsidRDefault="001C00FB">
      <w:pPr>
        <w:pStyle w:val="ConsPlusTitle"/>
        <w:jc w:val="center"/>
      </w:pPr>
      <w:r>
        <w:t>СУБСИДИЙ ИЗ ОБЛАСТНОГО БЮДЖЕТА УЛЬЯНОВСКОЙ ОБЛАСТИ</w:t>
      </w:r>
    </w:p>
    <w:p w:rsidR="001C00FB" w:rsidRDefault="001C00FB">
      <w:pPr>
        <w:pStyle w:val="ConsPlusTitle"/>
        <w:jc w:val="center"/>
      </w:pPr>
      <w:r>
        <w:t>АВТОНОМНОЙ НЕКОММЕРЧЕСКОЙ ОРГАНИЗАЦИИ ДОПОЛНИТЕЛЬНОГО</w:t>
      </w:r>
    </w:p>
    <w:p w:rsidR="001C00FB" w:rsidRDefault="001C00FB">
      <w:pPr>
        <w:pStyle w:val="ConsPlusTitle"/>
        <w:jc w:val="center"/>
      </w:pPr>
      <w:r>
        <w:t>ОБРАЗОВАНИЯ "ДЕТСКИЙ ТЕХНОПАРК "КВАНТОРИУМ"</w:t>
      </w:r>
    </w:p>
    <w:p w:rsidR="001C00FB" w:rsidRDefault="001C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>от 26.08.2020 N 477-П)</w:t>
            </w:r>
          </w:p>
        </w:tc>
      </w:tr>
    </w:tbl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и модернизация образования в Ульяновской области" Правительство Ульяновской области постановляет: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субсидий из областного бюджета Ульяновской области автономной некоммерческой организации дополнительного образования "Детский технопарк "Кванториум".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right"/>
      </w:pPr>
      <w:r>
        <w:t>Председатель</w:t>
      </w:r>
    </w:p>
    <w:p w:rsidR="001C00FB" w:rsidRDefault="001C00FB">
      <w:pPr>
        <w:pStyle w:val="ConsPlusNormal"/>
        <w:jc w:val="right"/>
      </w:pPr>
      <w:r>
        <w:t>Правительства Ульяновской области</w:t>
      </w:r>
    </w:p>
    <w:p w:rsidR="001C00FB" w:rsidRDefault="001C00FB">
      <w:pPr>
        <w:pStyle w:val="ConsPlusNormal"/>
        <w:jc w:val="right"/>
      </w:pPr>
      <w:r>
        <w:t>А.А.СМЕКАЛИН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right"/>
        <w:outlineLvl w:val="0"/>
      </w:pPr>
      <w:r>
        <w:t>Утверждены</w:t>
      </w:r>
    </w:p>
    <w:p w:rsidR="001C00FB" w:rsidRDefault="001C00FB">
      <w:pPr>
        <w:pStyle w:val="ConsPlusNormal"/>
        <w:jc w:val="right"/>
      </w:pPr>
      <w:r>
        <w:t>постановлением</w:t>
      </w:r>
    </w:p>
    <w:p w:rsidR="001C00FB" w:rsidRDefault="001C00FB">
      <w:pPr>
        <w:pStyle w:val="ConsPlusNormal"/>
        <w:jc w:val="right"/>
      </w:pPr>
      <w:r>
        <w:t>Правительства Ульяновской области</w:t>
      </w:r>
    </w:p>
    <w:p w:rsidR="001C00FB" w:rsidRDefault="001C00FB">
      <w:pPr>
        <w:pStyle w:val="ConsPlusNormal"/>
        <w:jc w:val="right"/>
      </w:pPr>
      <w:r>
        <w:t>от 15 апреля 2020 г. N 173-П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Title"/>
        <w:jc w:val="center"/>
      </w:pPr>
      <w:bookmarkStart w:id="0" w:name="P31"/>
      <w:bookmarkEnd w:id="0"/>
      <w:r>
        <w:t>ПРАВИЛА</w:t>
      </w:r>
    </w:p>
    <w:p w:rsidR="001C00FB" w:rsidRDefault="001C00FB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:rsidR="001C00FB" w:rsidRDefault="001C00FB">
      <w:pPr>
        <w:pStyle w:val="ConsPlusTitle"/>
        <w:jc w:val="center"/>
      </w:pPr>
      <w:r>
        <w:t>БЮДЖЕТА УЛЬЯНОВСКОЙ ОБЛАСТИ АВТОНОМНОЙ НЕКОММЕРЧЕСКОЙ</w:t>
      </w:r>
    </w:p>
    <w:p w:rsidR="001C00FB" w:rsidRDefault="001C00FB">
      <w:pPr>
        <w:pStyle w:val="ConsPlusTitle"/>
        <w:jc w:val="center"/>
      </w:pPr>
      <w:r>
        <w:t>ОРГАНИЗАЦИИ ДОПОЛНИТЕЛЬНОГО ОБРАЗОВАНИЯ</w:t>
      </w:r>
    </w:p>
    <w:p w:rsidR="001C00FB" w:rsidRDefault="001C00FB">
      <w:pPr>
        <w:pStyle w:val="ConsPlusTitle"/>
        <w:jc w:val="center"/>
      </w:pPr>
      <w:r>
        <w:t>"ДЕТСКИЙ ТЕХНОПАРК "КВАНТОРИУМ"</w:t>
      </w:r>
    </w:p>
    <w:p w:rsidR="001C00FB" w:rsidRDefault="001C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C00FB" w:rsidRDefault="001C00FB">
            <w:pPr>
              <w:pStyle w:val="ConsPlusNormal"/>
              <w:jc w:val="center"/>
            </w:pPr>
            <w:r>
              <w:rPr>
                <w:color w:val="392C69"/>
              </w:rPr>
              <w:t>от 26.08.2020 N 477-П)</w:t>
            </w:r>
          </w:p>
        </w:tc>
      </w:tr>
    </w:tbl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ind w:firstLine="540"/>
        <w:jc w:val="both"/>
      </w:pPr>
      <w:bookmarkStart w:id="1" w:name="P40"/>
      <w:bookmarkEnd w:id="1"/>
      <w:r>
        <w:lastRenderedPageBreak/>
        <w:t>1. Настоящие Правила устанавливают порядок определения объема и предоставления субсидий из областного бюджета Ульяновской области (далее - субсидии) автономной некоммерческой организации дополнительного образования "Детский технопарк "Кванториум" (далее - АНО) в целях финансового обеспечения затрат, связанных с эксплуатацией на территории Ульяновской области детского технопарка "Кванториум" и мобильного технопарка "Кванториум" на территории Ульяновской области.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2.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1C00FB" w:rsidRDefault="001C00F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Субсидии предоставляются АНО в объеме, определяемом исходя из объема следующих затрат АНО, необходимых для эксплуатации на территории Ульяновской области детского технопарка "Кванториум" и мобильного технопарка "Кванториум":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1) затрат, связанных с оплатой труда работников АНО, работающих по трудовому договору (далее - работники АНО), а также уплатой страховых взносов в Пенсионный фонд Российской Федерации на обязательное пенсионное страхование работников АНО, в Фонд социального страхования Российской Федерации на обязательное социальное страхование работников АНО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 АНО, в Фонд социального страхования Российской Федерации на обязательное социальное страхование работников АНО от несчастных случаев на производстве и профессиональных заболеваний. При этом объем затрат АНО, источником финансового обеспечения которых являются субсидии, связанных с оплатой труда руководителя АНО, заместителя руководителя АНО и главного бухгалтера АНО (без учета указанных страховых взносов), не должен превышать размеров, установленных правовым актом Правительства Ульяновской области;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2) затрат, связанных с возмещением работникам АНО, направленным в служебные командировки, расходов, предусмотренных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3) затрат, связанных с оплатой приобретаемых АНО расходных материалов, основных средств, программного обеспечения, в том числе справочных (информационных) систем, оплатой коммунальных и эксплуатационных услуг, услуг (работ) по содержанию занимаемых АНО помещений, услуг связи, в том числе услуг связи по обеспечению доступа к информационно-телекоммуникационной сети Интернет, и услуг по разработке и сопровождению сайта АНО в указанной сети, а также с внесением арендной платы за арендуемое АНО помещение;</w:t>
      </w:r>
    </w:p>
    <w:p w:rsidR="001C00FB" w:rsidRDefault="001C00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4) затрат, связанных с оплатой услуг по обеспечению охраны и пожарной безопасности АНО;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5) затрат, связанных с уплатой АНО налогов и сборов в бюджеты бюджетной системы Российской Федерации;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6) затрат, связанных с оплатой услуг по организации подготовки, переподготовки и повышения квалификации работников АНО;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7) затрат, связанных с оплатой товаров, работ, услуг, необходимых для проведения мероприятий, в том числе конференций, форумов, семинаров, олимпиад и конкурсов, направленных на достижение уставных целей АНО, участием в них работников АНО, включая </w:t>
      </w:r>
      <w:r>
        <w:lastRenderedPageBreak/>
        <w:t>затраты, связанные с оплатой работ (услуг) по организации маркетинговых мероприятий, по изготовлению презентационной продукции, в том числе презентаций, раздаточных материалов, аудиовизуальной продукции, по целенаправленному распространению в средствах массовой информации и информационно-телекоммуникационной сети Интернет сведений о деятельности АНО, направленной на достижение уставных целей;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8) затрат, связанных с оплатой товаров, работ, услуг, необходимых для организации участия обучающихся, осваивающих дополнительные общеразвивающие программы, реализуемые АНО, в мероприятиях, в том числе конференциях, форумах, семинарах, олимпиадах конкурсах, направленных на достижение уставных целей АНО, организуемых на территории Российской Федерации и за пределами территории Российской Федерации (включая оплату проезда, проживания и питания обучающихся, сопровождающих их лиц);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9) затрат, связанных с оплатой товаров, работ, услуг, необходимых для эксплуатации и поддержания в исправном состоянии транспортного средства и (или) прицепа (оплата приобретаемых горюче-смазочных материалов, запасных частей, оплата услуг по ремонту, техническому обслуживанию, мойке, парковке на платных стоянках, а также уплата страховых премий по договорам добровольного страхования транспортных средств и страховых премий по договорам обязательного страхования гражданской ответственности АНО как владельца транспортных средств, находящихся в собственности АНО);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10) затрат, связанных с оплатой медицинских услуг, оказываемых при прохождении работниками АНО ежегодного медицинского осмотра;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11) затрат, связанных с оплатой услуг по обслуживанию и ремонту компьютерной и копировальной техники, принадлежащей АНО;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12) затрат, связанных с оплатой услуг по проведению специальной оценки условий труда работников АНО;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13) затрат, связанных с оплатой транспортных, банковских услуг, нотариальных и других услуг, оказываемых нотариусами и иными должностными лицами, имеющими право совершать нотариальные действия;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14) затрат, связанных с оплатой ремонтных, отделочных и проектных работ;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15) затрат, связанных с оплатой приобретаемых строительных и отделочных материалов.</w:t>
      </w:r>
    </w:p>
    <w:p w:rsidR="001C00FB" w:rsidRDefault="001C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26.08.2020 N 477-П)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4. На первое число месяца, предшествующего месяцу, в котором планируется заключение соглашения о предоставлении субсидий (далее - Соглашение), АНО должна соответствовать следующим требованиям: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1) у АНО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2) у АНО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lastRenderedPageBreak/>
        <w:t>3) у АНО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4) АНО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АНО не должна быть приостановлена в порядке, предусмотренном законодательством Российской Федерации;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5) АНО не должна получать средства областного бюджета Ульяновской области в соответствии с иными нормативными правовыми актами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6) АНО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АНО считается подвергнутой административному наказанию, не истек.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6" w:name="P74"/>
      <w:bookmarkEnd w:id="6"/>
      <w:r>
        <w:t>5. Для получения субсидий АНО представляет в Министерство: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1) заявку на получение субсидий, составленную по форме, установленной Министерством;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2) заверенную единоличным исполнительным органом АНО копию устава АНО;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АНО, заверенную единоличным исполнительным органом АНО;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4) смету затрат,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5) справку о соответствии АНО требованиям, установленным </w:t>
      </w:r>
      <w:hyperlink w:anchor="P69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51" w:history="1">
        <w:r>
          <w:rPr>
            <w:color w:val="0000FF"/>
          </w:rPr>
          <w:t>6 пункта 4</w:t>
        </w:r>
      </w:hyperlink>
      <w:r>
        <w:t xml:space="preserve"> настоящих Правил, подписанную руководителем АНО;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6) справку налогового органа об исполнении АНО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6. Министерство в течение 15 рабочих дней со дня поступления документов (копий документов),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Правил, осуществляет проверку соответствия АНО требованиям, установленным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 заключении Соглашения или об отказе в предоставлении субсидий, которое оформляется распоряжением Министерства.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7. Основаниями для принятия Министерством решения об отказе в предоставлении субсидий являются: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несоответствие АНО требованиям, установленным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представление АНО документов (копий документов),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Правил, не в полном объеме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Не позднее 5 рабочих дней со дня принятия решения, указанного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настоящих </w:t>
      </w:r>
      <w:r>
        <w:lastRenderedPageBreak/>
        <w:t>Правил, Министерство направляет АНО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АНО вправе повторно представить в Министерство документы (копии документов), указанные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Правил, при условии устранения обстоятельств, послуживших основанием для принятия Министерством решения об отказе в предоставлении субсидий.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8. Субсидии предоставляются на основании Соглашения, заключенного Министерством с АНО в соответствии с типовой формой, установленной Министерством финансов Ульяновской области.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АНО субсидий и заключении с ней Соглашения Министерство не позднее 5 рабочих дней со дня принятия указанного решения направляет АНО три экземпляра Соглашения для подписания. АНО возвращает в Министерство подписанные экземпляры Соглашения не позднее 5 рабочих дней со дня их получения.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9. Соглашение должно содержать в том числе: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1) объем субсидий, цели, условия и порядок их предоставления, в том числе сроки перечисления;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2) плановое значение результата предоставления субсидий;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3) порядок, форму и сроки представления отчетности об осуществлении затрат, источником финансового обеспечения которых являются субсидии;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4) порядок и сроки возврата субсидий (остатков субсидий);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5) согласие АНО на осуществление Министерством и органами государственного финансового контроля проверок соблюдения АНО условий, целей и порядка, установленных при предоставлении субсидий, и запрет на приобретение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6) обязанность АНО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10. Результатом предоставления субсидий является число обучающихся в возрасте от 10 до 17 лет, осваивающих реализуемые АНО дополнительные общеразвивающие программы, соответствующие приоритетным направлениям технологического развития Российской Федерации.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АНО не позднее 15 января года, следующего за годом, в котором ей представлены субсидии, представляет в Министерство </w:t>
      </w:r>
      <w:hyperlink w:anchor="P115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субсидий, составленный по форме, установленной приложением к настоящим Правилам.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11. Министерство перечисляет субсидии на лицевой счет, открытый АНО в Министерстве финансов Ульяновской области, в сроки, установленные Соглашением.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12. Министерство обеспечивает соблюдение АНО условий, целей и порядка, установленных </w:t>
      </w:r>
      <w:r>
        <w:lastRenderedPageBreak/>
        <w:t>при предоставлении субсидий.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Министерство и органы государственного финансового контроля осуществляют обязательную проверку соблюдения АНО условий, целей и порядка, установленных при предоставлении субсидий.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13. В случае нарушения АНО условий, установленных при предоставлении субсидий, или установления факта представления недостоверных сведений, выявленных по результатам проведенных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объеме.</w:t>
      </w:r>
    </w:p>
    <w:p w:rsidR="001C00FB" w:rsidRDefault="001C00FB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АНО результата предоставления субсидий субсидии подлежат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Не использованные АНО в текущем финансовом году остатки субсидий подлежат возврату в областной бюджет Ульяновской области не позднее 15 календарных дней со дня окончания текущего финансового года. Указанные остатки могут использоваться АНО в очередном финансовом году при наличии потребности в использовании этих остатков на соответствующие цели в текущем финансовом году в соответствии с решением Министерства, согласованным с Министерством финансов Ульяновской области.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 xml:space="preserve">14. Министерство обеспечивает возврат субсидий в областной бюджет Ульяновской области путем направления АНО в срок, не превышающий 30 календарных дней со дня установления хотя бы одного из указанных в </w:t>
      </w:r>
      <w:hyperlink w:anchor="P101" w:history="1">
        <w:r>
          <w:rPr>
            <w:color w:val="0000FF"/>
          </w:rPr>
          <w:t>абзацах первом</w:t>
        </w:r>
      </w:hyperlink>
      <w:r>
        <w:t xml:space="preserve"> или </w:t>
      </w:r>
      <w:hyperlink w:anchor="P102" w:history="1">
        <w:r>
          <w:rPr>
            <w:color w:val="0000FF"/>
          </w:rPr>
          <w:t>втором пункта 13</w:t>
        </w:r>
      </w:hyperlink>
      <w:r>
        <w:t xml:space="preserve"> настоящих Правил обстоятельств, являющихся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Возврат субсидий (остатков субсидий)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1C00FB" w:rsidRDefault="001C00FB">
      <w:pPr>
        <w:pStyle w:val="ConsPlusNormal"/>
        <w:spacing w:before="220"/>
        <w:ind w:firstLine="540"/>
        <w:jc w:val="both"/>
      </w:pPr>
      <w:r>
        <w:t>В случае отказа или уклонения АНО от добровольного возврата субсидий (остатков субсидий)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right"/>
        <w:outlineLvl w:val="1"/>
      </w:pPr>
      <w:r>
        <w:t>Приложение</w:t>
      </w:r>
    </w:p>
    <w:p w:rsidR="001C00FB" w:rsidRDefault="001C00FB">
      <w:pPr>
        <w:pStyle w:val="ConsPlusNormal"/>
        <w:jc w:val="right"/>
      </w:pPr>
      <w:r>
        <w:t>к Правилам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center"/>
      </w:pPr>
      <w:bookmarkStart w:id="10" w:name="P115"/>
      <w:bookmarkEnd w:id="10"/>
      <w:r>
        <w:t>ОТЧЕТ</w:t>
      </w:r>
    </w:p>
    <w:p w:rsidR="001C00FB" w:rsidRDefault="001C00FB">
      <w:pPr>
        <w:pStyle w:val="ConsPlusNormal"/>
        <w:jc w:val="center"/>
      </w:pPr>
      <w:r>
        <w:t>о достижении результата предоставления субсидий</w:t>
      </w:r>
    </w:p>
    <w:p w:rsidR="001C00FB" w:rsidRDefault="001C00FB">
      <w:pPr>
        <w:pStyle w:val="ConsPlusNormal"/>
        <w:jc w:val="center"/>
      </w:pPr>
      <w:r>
        <w:t>по состоянию на ___ __________ 20__ года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ind w:firstLine="540"/>
        <w:jc w:val="both"/>
      </w:pPr>
      <w:r>
        <w:t>Наименование получателя ___________________________________</w:t>
      </w:r>
    </w:p>
    <w:p w:rsidR="001C00FB" w:rsidRDefault="001C0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47"/>
        <w:gridCol w:w="964"/>
        <w:gridCol w:w="567"/>
        <w:gridCol w:w="1134"/>
        <w:gridCol w:w="1247"/>
        <w:gridCol w:w="1247"/>
        <w:gridCol w:w="1191"/>
      </w:tblGrid>
      <w:tr w:rsidR="001C00FB">
        <w:tc>
          <w:tcPr>
            <w:tcW w:w="567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результата</w:t>
            </w:r>
          </w:p>
        </w:tc>
        <w:tc>
          <w:tcPr>
            <w:tcW w:w="1247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 xml:space="preserve">Наименование проекта </w:t>
            </w:r>
            <w:r>
              <w:lastRenderedPageBreak/>
              <w:t>(мероприятия)</w:t>
            </w:r>
          </w:p>
        </w:tc>
        <w:tc>
          <w:tcPr>
            <w:tcW w:w="1531" w:type="dxa"/>
            <w:gridSpan w:val="2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t>Плановое значение показател</w:t>
            </w:r>
            <w:r>
              <w:lastRenderedPageBreak/>
              <w:t>я</w:t>
            </w:r>
          </w:p>
        </w:tc>
        <w:tc>
          <w:tcPr>
            <w:tcW w:w="1247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 xml:space="preserve">Достигнутое значение показателя </w:t>
            </w:r>
            <w:r>
              <w:lastRenderedPageBreak/>
              <w:t>по состоянию на отчетную дату</w:t>
            </w:r>
          </w:p>
        </w:tc>
        <w:tc>
          <w:tcPr>
            <w:tcW w:w="1247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 xml:space="preserve">Достигнутая доля планового </w:t>
            </w:r>
            <w:r>
              <w:lastRenderedPageBreak/>
              <w:t>значения показателя (в процентах)</w:t>
            </w:r>
          </w:p>
        </w:tc>
        <w:tc>
          <w:tcPr>
            <w:tcW w:w="1191" w:type="dxa"/>
            <w:vMerge w:val="restart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 xml:space="preserve">Причина отклонения от </w:t>
            </w:r>
            <w:r>
              <w:lastRenderedPageBreak/>
              <w:t>планового значения показателя</w:t>
            </w:r>
          </w:p>
        </w:tc>
      </w:tr>
      <w:tr w:rsidR="001C00FB">
        <w:tc>
          <w:tcPr>
            <w:tcW w:w="567" w:type="dxa"/>
            <w:vMerge/>
          </w:tcPr>
          <w:p w:rsidR="001C00FB" w:rsidRDefault="001C00FB"/>
        </w:tc>
        <w:tc>
          <w:tcPr>
            <w:tcW w:w="850" w:type="dxa"/>
            <w:vMerge/>
          </w:tcPr>
          <w:p w:rsidR="001C00FB" w:rsidRDefault="001C00FB"/>
        </w:tc>
        <w:tc>
          <w:tcPr>
            <w:tcW w:w="1247" w:type="dxa"/>
            <w:vMerge/>
          </w:tcPr>
          <w:p w:rsidR="001C00FB" w:rsidRDefault="001C00FB"/>
        </w:tc>
        <w:tc>
          <w:tcPr>
            <w:tcW w:w="964" w:type="dxa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Align w:val="center"/>
          </w:tcPr>
          <w:p w:rsidR="001C00FB" w:rsidRDefault="001C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</w:tcPr>
          <w:p w:rsidR="001C00FB" w:rsidRDefault="001C00FB"/>
        </w:tc>
        <w:tc>
          <w:tcPr>
            <w:tcW w:w="1247" w:type="dxa"/>
            <w:vMerge/>
          </w:tcPr>
          <w:p w:rsidR="001C00FB" w:rsidRDefault="001C00FB"/>
        </w:tc>
        <w:tc>
          <w:tcPr>
            <w:tcW w:w="1247" w:type="dxa"/>
            <w:vMerge/>
          </w:tcPr>
          <w:p w:rsidR="001C00FB" w:rsidRDefault="001C00FB"/>
        </w:tc>
        <w:tc>
          <w:tcPr>
            <w:tcW w:w="1191" w:type="dxa"/>
            <w:vMerge/>
          </w:tcPr>
          <w:p w:rsidR="001C00FB" w:rsidRDefault="001C00FB"/>
        </w:tc>
      </w:tr>
      <w:tr w:rsidR="001C00FB">
        <w:tc>
          <w:tcPr>
            <w:tcW w:w="567" w:type="dxa"/>
          </w:tcPr>
          <w:p w:rsidR="001C00FB" w:rsidRDefault="001C00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C00FB" w:rsidRDefault="001C0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C00FB" w:rsidRDefault="001C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C00FB" w:rsidRDefault="001C0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C00FB" w:rsidRDefault="001C00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C00FB" w:rsidRDefault="001C00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C00FB" w:rsidRDefault="001C00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C00FB" w:rsidRDefault="001C00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C00FB" w:rsidRDefault="001C00FB">
            <w:pPr>
              <w:pStyle w:val="ConsPlusNormal"/>
              <w:jc w:val="center"/>
            </w:pPr>
            <w:r>
              <w:t>9</w:t>
            </w:r>
          </w:p>
        </w:tc>
      </w:tr>
      <w:tr w:rsidR="001C00FB">
        <w:tc>
          <w:tcPr>
            <w:tcW w:w="567" w:type="dxa"/>
          </w:tcPr>
          <w:p w:rsidR="001C00FB" w:rsidRDefault="001C00FB">
            <w:pPr>
              <w:pStyle w:val="ConsPlusNormal"/>
            </w:pPr>
          </w:p>
        </w:tc>
        <w:tc>
          <w:tcPr>
            <w:tcW w:w="850" w:type="dxa"/>
          </w:tcPr>
          <w:p w:rsidR="001C00FB" w:rsidRDefault="001C00FB">
            <w:pPr>
              <w:pStyle w:val="ConsPlusNormal"/>
            </w:pPr>
          </w:p>
        </w:tc>
        <w:tc>
          <w:tcPr>
            <w:tcW w:w="1247" w:type="dxa"/>
          </w:tcPr>
          <w:p w:rsidR="001C00FB" w:rsidRDefault="001C00FB">
            <w:pPr>
              <w:pStyle w:val="ConsPlusNormal"/>
            </w:pPr>
          </w:p>
        </w:tc>
        <w:tc>
          <w:tcPr>
            <w:tcW w:w="964" w:type="dxa"/>
          </w:tcPr>
          <w:p w:rsidR="001C00FB" w:rsidRDefault="001C00FB">
            <w:pPr>
              <w:pStyle w:val="ConsPlusNormal"/>
            </w:pPr>
          </w:p>
        </w:tc>
        <w:tc>
          <w:tcPr>
            <w:tcW w:w="567" w:type="dxa"/>
          </w:tcPr>
          <w:p w:rsidR="001C00FB" w:rsidRDefault="001C00FB">
            <w:pPr>
              <w:pStyle w:val="ConsPlusNormal"/>
            </w:pPr>
          </w:p>
        </w:tc>
        <w:tc>
          <w:tcPr>
            <w:tcW w:w="1134" w:type="dxa"/>
          </w:tcPr>
          <w:p w:rsidR="001C00FB" w:rsidRDefault="001C00FB">
            <w:pPr>
              <w:pStyle w:val="ConsPlusNormal"/>
            </w:pPr>
          </w:p>
        </w:tc>
        <w:tc>
          <w:tcPr>
            <w:tcW w:w="1247" w:type="dxa"/>
          </w:tcPr>
          <w:p w:rsidR="001C00FB" w:rsidRDefault="001C00FB">
            <w:pPr>
              <w:pStyle w:val="ConsPlusNormal"/>
            </w:pPr>
          </w:p>
        </w:tc>
        <w:tc>
          <w:tcPr>
            <w:tcW w:w="1247" w:type="dxa"/>
          </w:tcPr>
          <w:p w:rsidR="001C00FB" w:rsidRDefault="001C00FB">
            <w:pPr>
              <w:pStyle w:val="ConsPlusNormal"/>
            </w:pPr>
          </w:p>
        </w:tc>
        <w:tc>
          <w:tcPr>
            <w:tcW w:w="1191" w:type="dxa"/>
          </w:tcPr>
          <w:p w:rsidR="001C00FB" w:rsidRDefault="001C00FB">
            <w:pPr>
              <w:pStyle w:val="ConsPlusNormal"/>
            </w:pPr>
          </w:p>
        </w:tc>
      </w:tr>
    </w:tbl>
    <w:p w:rsidR="001C00FB" w:rsidRDefault="001C00FB">
      <w:pPr>
        <w:pStyle w:val="ConsPlusNormal"/>
        <w:jc w:val="both"/>
      </w:pPr>
    </w:p>
    <w:p w:rsidR="001C00FB" w:rsidRDefault="001C00FB">
      <w:pPr>
        <w:pStyle w:val="ConsPlusNonformat"/>
        <w:jc w:val="both"/>
      </w:pPr>
      <w:r>
        <w:t>Руководитель получателя _______________   _________   _____________________</w:t>
      </w:r>
    </w:p>
    <w:p w:rsidR="001C00FB" w:rsidRDefault="001C00FB">
      <w:pPr>
        <w:pStyle w:val="ConsPlusNonformat"/>
        <w:jc w:val="both"/>
      </w:pPr>
      <w:r>
        <w:t xml:space="preserve">                         (наименование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1C00FB" w:rsidRDefault="001C00FB">
      <w:pPr>
        <w:pStyle w:val="ConsPlusNonformat"/>
        <w:jc w:val="both"/>
      </w:pPr>
      <w:r>
        <w:t xml:space="preserve">                           должности)</w:t>
      </w: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jc w:val="both"/>
      </w:pPr>
    </w:p>
    <w:p w:rsidR="001C00FB" w:rsidRDefault="001C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1C00FB">
      <w:bookmarkStart w:id="11" w:name="_GoBack"/>
      <w:bookmarkEnd w:id="11"/>
    </w:p>
    <w:sectPr w:rsidR="00114264" w:rsidSect="00E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FB"/>
    <w:rsid w:val="001C00FB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4FEB-4B2E-40D8-91EC-8BBC314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70EDA55ACAB738CBC44074F91CBC0110B1F531DA9B56214B614DF5F298A71E3E0B273F2BD0B9890E27204DBC8163F7085D93D2F8E7E42D47B1CLER9N" TargetMode="External"/><Relationship Id="rId13" Type="http://schemas.openxmlformats.org/officeDocument/2006/relationships/hyperlink" Target="consultantplus://offline/ref=CDA70EDA55ACAB738CBC44074F91CBC0110B1F531DA9B56214B614DF5F298A71E3E0B273F2BD0B9890E27108DBC8163F7085D93D2F8E7E42D47B1CLER9N" TargetMode="External"/><Relationship Id="rId18" Type="http://schemas.openxmlformats.org/officeDocument/2006/relationships/hyperlink" Target="consultantplus://offline/ref=CDA70EDA55ACAB738CBC44074F91CBC0110B1F531DA9B56214B614DF5F298A71E3E0B273F2BD0B9890E2700CDBC8163F7085D93D2F8E7E42D47B1CLER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A70EDA55ACAB738CBC44074F91CBC0110B1F531DA9B76215B614DF5F298A71E3E0B273F2BD0B9890E27305DBC8163F7085D93D2F8E7E42D47B1CLER9N" TargetMode="External"/><Relationship Id="rId12" Type="http://schemas.openxmlformats.org/officeDocument/2006/relationships/hyperlink" Target="consultantplus://offline/ref=CDA70EDA55ACAB738CBC44074F91CBC0110B1F531DA9B56214B614DF5F298A71E3E0B273F2BD0B9890E2710EDBC8163F7085D93D2F8E7E42D47B1CLER9N" TargetMode="External"/><Relationship Id="rId17" Type="http://schemas.openxmlformats.org/officeDocument/2006/relationships/hyperlink" Target="consultantplus://offline/ref=CDA70EDA55ACAB738CBC44074F91CBC0110B1F531DA9B56214B614DF5F298A71E3E0B273F2BD0B9890E27105DBC8163F7085D93D2F8E7E42D47B1CLER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70EDA55ACAB738CBC44074F91CBC0110B1F531DA9B56214B614DF5F298A71E3E0B273F2BD0B9890E27104DBC8163F7085D93D2F8E7E42D47B1CLER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70EDA55ACAB738CBC5A0A59FD95CA140549561DADB8344AE94F8208208026A4AFEB31B6B30E9897E9275D94C94A7A2096D83A2F8C7C5ELDR7N" TargetMode="External"/><Relationship Id="rId11" Type="http://schemas.openxmlformats.org/officeDocument/2006/relationships/hyperlink" Target="consultantplus://offline/ref=CDA70EDA55ACAB738CBC44074F91CBC0110B1F531DA9B56214B614DF5F298A71E3E0B273F2BD0B9890E2710DDBC8163F7085D93D2F8E7E42D47B1CLER9N" TargetMode="External"/><Relationship Id="rId5" Type="http://schemas.openxmlformats.org/officeDocument/2006/relationships/hyperlink" Target="consultantplus://offline/ref=CDA70EDA55ACAB738CBC44074F91CBC0110B1F531DA9B56214B614DF5F298A71E3E0B273F2BD0B9890E27204DBC8163F7085D93D2F8E7E42D47B1CLER9N" TargetMode="External"/><Relationship Id="rId15" Type="http://schemas.openxmlformats.org/officeDocument/2006/relationships/hyperlink" Target="consultantplus://offline/ref=CDA70EDA55ACAB738CBC44074F91CBC0110B1F531DA9B56214B614DF5F298A71E3E0B273F2BD0B9890E2710BDBC8163F7085D93D2F8E7E42D47B1CLER9N" TargetMode="External"/><Relationship Id="rId10" Type="http://schemas.openxmlformats.org/officeDocument/2006/relationships/hyperlink" Target="consultantplus://offline/ref=CDA70EDA55ACAB738CBC5A0A59FD95CA1404415D1BA4B8344AE94F8208208026B6AFB33DB7B5149892FC710CD2L9RDN" TargetMode="External"/><Relationship Id="rId19" Type="http://schemas.openxmlformats.org/officeDocument/2006/relationships/hyperlink" Target="consultantplus://offline/ref=CDA70EDA55ACAB738CBC5A0A59FD95CA140045581DA4B8344AE94F8208208026B6AFB33DB7B5149892FC710CD2L9R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A70EDA55ACAB738CBC44074F91CBC0110B1F531DA9B56214B614DF5F298A71E3E0B273F2BD0B9890E27205DBC8163F7085D93D2F8E7E42D47B1CLER9N" TargetMode="External"/><Relationship Id="rId14" Type="http://schemas.openxmlformats.org/officeDocument/2006/relationships/hyperlink" Target="consultantplus://offline/ref=CDA70EDA55ACAB738CBC44074F91CBC0110B1F531DA9B56214B614DF5F298A71E3E0B273F2BD0B9890E2710ADBC8163F7085D93D2F8E7E42D47B1CLE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2021-02-15T13:17:00Z</dcterms:created>
  <dcterms:modified xsi:type="dcterms:W3CDTF">2021-02-15T13:17:00Z</dcterms:modified>
</cp:coreProperties>
</file>