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A5" w:rsidRPr="002456A5" w:rsidRDefault="002456A5" w:rsidP="002456A5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  <w:shd w:val="clear" w:color="auto" w:fill="FFFFFF"/>
        </w:rPr>
      </w:pPr>
      <w:r w:rsidRPr="002456A5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Выступление </w:t>
      </w:r>
      <w:proofErr w:type="spellStart"/>
      <w:r w:rsidRPr="002456A5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Касимовой</w:t>
      </w:r>
      <w:proofErr w:type="spellEnd"/>
      <w:r w:rsidRPr="002456A5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 О</w:t>
      </w:r>
      <w:r w:rsidRPr="002456A5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.М., </w:t>
      </w:r>
    </w:p>
    <w:p w:rsidR="002456A5" w:rsidRPr="002456A5" w:rsidRDefault="002456A5" w:rsidP="002456A5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  <w:shd w:val="clear" w:color="auto" w:fill="FFFFFF"/>
        </w:rPr>
      </w:pPr>
      <w:r w:rsidRPr="002456A5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директор</w:t>
      </w:r>
      <w:r w:rsidRPr="002456A5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а</w:t>
      </w:r>
      <w:r w:rsidRPr="002456A5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 xml:space="preserve"> департамента по надзору и контролю в сфере образования</w:t>
      </w:r>
    </w:p>
    <w:p w:rsidR="002456A5" w:rsidRPr="002456A5" w:rsidRDefault="002456A5" w:rsidP="002456A5">
      <w:pPr>
        <w:spacing w:after="0" w:line="240" w:lineRule="auto"/>
        <w:jc w:val="right"/>
        <w:rPr>
          <w:rFonts w:ascii="PT Astra Serif" w:hAnsi="PT Astra Serif" w:cs="Times New Roman"/>
          <w:i/>
          <w:sz w:val="28"/>
          <w:szCs w:val="28"/>
          <w:shd w:val="clear" w:color="auto" w:fill="FFFFFF"/>
        </w:rPr>
      </w:pPr>
      <w:r w:rsidRPr="002456A5">
        <w:rPr>
          <w:rFonts w:ascii="PT Astra Serif" w:hAnsi="PT Astra Serif" w:cs="Times New Roman"/>
          <w:i/>
          <w:sz w:val="28"/>
          <w:szCs w:val="28"/>
          <w:shd w:val="clear" w:color="auto" w:fill="FFFFFF"/>
        </w:rPr>
        <w:t>Министерства просвещения и воспитания Ульяновской области</w:t>
      </w:r>
    </w:p>
    <w:p w:rsidR="002456A5" w:rsidRDefault="002456A5" w:rsidP="00BB65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</w:p>
    <w:p w:rsidR="00BB65B5" w:rsidRPr="00245755" w:rsidRDefault="00BB65B5" w:rsidP="00BB65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4575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О результатах профилактической и контрольно-надзорной деятельности </w:t>
      </w:r>
    </w:p>
    <w:p w:rsidR="00CB4E2A" w:rsidRPr="00245755" w:rsidRDefault="00BB65B5" w:rsidP="00BB65B5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  <w:shd w:val="clear" w:color="auto" w:fill="FFFFFF"/>
        </w:rPr>
      </w:pPr>
      <w:r w:rsidRPr="0024575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за 2023 год</w:t>
      </w:r>
      <w:r w:rsidR="0024575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и</w:t>
      </w:r>
      <w:r w:rsidR="003F261D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</w:t>
      </w:r>
      <w:r w:rsidRPr="0024575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приоритетны</w:t>
      </w:r>
      <w:r w:rsidR="007C5D5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х</w:t>
      </w:r>
      <w:r w:rsidRPr="0024575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направления</w:t>
      </w:r>
      <w:r w:rsidR="007C5D5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>х</w:t>
      </w:r>
      <w:r w:rsidRPr="00245755">
        <w:rPr>
          <w:rFonts w:ascii="PT Astra Serif" w:hAnsi="PT Astra Serif" w:cs="Times New Roman"/>
          <w:b/>
          <w:sz w:val="28"/>
          <w:szCs w:val="28"/>
          <w:shd w:val="clear" w:color="auto" w:fill="FFFFFF"/>
        </w:rPr>
        <w:t xml:space="preserve"> работы на 2024 год</w:t>
      </w:r>
    </w:p>
    <w:p w:rsidR="00BB65B5" w:rsidRDefault="00BB65B5" w:rsidP="00106F0D">
      <w:pPr>
        <w:spacing w:after="0" w:line="240" w:lineRule="auto"/>
        <w:jc w:val="right"/>
        <w:rPr>
          <w:rFonts w:ascii="PT Astra Serif" w:hAnsi="PT Astra Serif" w:cs="Times New Roman"/>
          <w:i/>
          <w:sz w:val="24"/>
          <w:szCs w:val="24"/>
          <w:shd w:val="clear" w:color="auto" w:fill="FFFFFF"/>
        </w:rPr>
      </w:pPr>
    </w:p>
    <w:p w:rsidR="00BB65B5" w:rsidRDefault="00BB65B5" w:rsidP="00F476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2023 году контрольно-надзорная деятельность Министерства была связана с проведением профилактических мероприятий и направлена на снижение административных барьеров. </w:t>
      </w:r>
    </w:p>
    <w:p w:rsidR="00C039B4" w:rsidRDefault="00C039B4" w:rsidP="00F47632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 xml:space="preserve">По состоянию на 31 декабря 2023 года общее количество контролируемых лиц Министерства </w:t>
      </w:r>
      <w:r w:rsidR="00F47632">
        <w:rPr>
          <w:rFonts w:ascii="Liberation Serif" w:hAnsi="Liberation Serif" w:cs="Liberation Serif"/>
          <w:iCs/>
          <w:sz w:val="28"/>
          <w:szCs w:val="28"/>
        </w:rPr>
        <w:t xml:space="preserve">при осуществлении федерального государственного контроля (надзора) </w:t>
      </w:r>
      <w:r>
        <w:rPr>
          <w:rFonts w:ascii="Liberation Serif" w:hAnsi="Liberation Serif" w:cs="Liberation Serif"/>
          <w:iCs/>
          <w:sz w:val="28"/>
          <w:szCs w:val="28"/>
        </w:rPr>
        <w:t>составля</w:t>
      </w:r>
      <w:r w:rsidR="00245755">
        <w:rPr>
          <w:rFonts w:ascii="Liberation Serif" w:hAnsi="Liberation Serif" w:cs="Liberation Serif"/>
          <w:iCs/>
          <w:sz w:val="28"/>
          <w:szCs w:val="28"/>
        </w:rPr>
        <w:t>ло</w:t>
      </w:r>
      <w:r>
        <w:rPr>
          <w:rFonts w:ascii="Liberation Serif" w:hAnsi="Liberation Serif" w:cs="Liberation Serif"/>
          <w:iCs/>
          <w:sz w:val="28"/>
          <w:szCs w:val="28"/>
        </w:rPr>
        <w:t xml:space="preserve"> 1040 </w:t>
      </w:r>
      <w:r>
        <w:rPr>
          <w:rFonts w:ascii="PT Astra Serif" w:hAnsi="PT Astra Serif"/>
          <w:sz w:val="28"/>
          <w:szCs w:val="28"/>
        </w:rPr>
        <w:t>(из них – 1015 юридических лиц и 25 филиалов), в том числе:</w:t>
      </w:r>
    </w:p>
    <w:p w:rsidR="00C039B4" w:rsidRDefault="00C039B4" w:rsidP="00F4763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дошкол</w:t>
      </w:r>
      <w:r w:rsidR="002456A5">
        <w:rPr>
          <w:rFonts w:ascii="PT Astra Serif" w:hAnsi="PT Astra Serif"/>
          <w:sz w:val="28"/>
          <w:szCs w:val="28"/>
        </w:rPr>
        <w:t>ьных образовательных организаций</w:t>
      </w:r>
      <w:r>
        <w:rPr>
          <w:rFonts w:ascii="PT Astra Serif" w:hAnsi="PT Astra Serif"/>
          <w:sz w:val="28"/>
          <w:szCs w:val="28"/>
        </w:rPr>
        <w:t xml:space="preserve"> – 250 (</w:t>
      </w:r>
      <w:r w:rsidR="008D2F72">
        <w:rPr>
          <w:rFonts w:ascii="PT Astra Serif" w:hAnsi="PT Astra Serif"/>
          <w:sz w:val="28"/>
          <w:szCs w:val="28"/>
        </w:rPr>
        <w:t>в</w:t>
      </w:r>
      <w:r>
        <w:rPr>
          <w:rFonts w:ascii="PT Astra Serif" w:hAnsi="PT Astra Serif"/>
          <w:sz w:val="28"/>
          <w:szCs w:val="28"/>
        </w:rPr>
        <w:t xml:space="preserve"> 8 филиалов), </w:t>
      </w:r>
    </w:p>
    <w:p w:rsidR="00C039B4" w:rsidRDefault="002456A5" w:rsidP="00F4763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общеобразовательные организации</w:t>
      </w:r>
      <w:r w:rsidR="00C039B4">
        <w:rPr>
          <w:rFonts w:ascii="PT Astra Serif" w:hAnsi="PT Astra Serif"/>
          <w:sz w:val="28"/>
          <w:szCs w:val="28"/>
        </w:rPr>
        <w:t xml:space="preserve"> – 399 (из них 11 филиалов), </w:t>
      </w:r>
    </w:p>
    <w:p w:rsidR="00C039B4" w:rsidRDefault="00C039B4" w:rsidP="00F4763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профессиональные образовательные организации – 46 (из них 3 филиала), </w:t>
      </w:r>
    </w:p>
    <w:p w:rsidR="00C039B4" w:rsidRDefault="00C039B4" w:rsidP="00F4763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организации дополнительного образования –156 (из них – 3 филиала), </w:t>
      </w:r>
    </w:p>
    <w:p w:rsidR="00C039B4" w:rsidRDefault="00C039B4" w:rsidP="00F4763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организации дополнительного профессионального образования – 45, </w:t>
      </w:r>
    </w:p>
    <w:p w:rsidR="00C039B4" w:rsidRDefault="00C039B4" w:rsidP="00F4763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организации для детей-сирот и детей, оставшихся без попечения родителей – 5,</w:t>
      </w:r>
    </w:p>
    <w:p w:rsidR="00C039B4" w:rsidRDefault="002456A5" w:rsidP="00F4763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организации, осуществляющие</w:t>
      </w:r>
      <w:r w:rsidR="00C039B4">
        <w:rPr>
          <w:rFonts w:ascii="PT Astra Serif" w:hAnsi="PT Astra Serif"/>
          <w:sz w:val="28"/>
          <w:szCs w:val="28"/>
        </w:rPr>
        <w:t xml:space="preserve"> лечение, оздоровление и (или) отдых, организации, осуществляющие социальное обслуживание – 15,</w:t>
      </w:r>
    </w:p>
    <w:p w:rsidR="00C039B4" w:rsidRDefault="00C039B4" w:rsidP="00F4763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иные организации, осуществляющие обучение – 105, </w:t>
      </w:r>
    </w:p>
    <w:p w:rsidR="00C039B4" w:rsidRDefault="00C039B4" w:rsidP="00F47632">
      <w:pPr>
        <w:tabs>
          <w:tab w:val="left" w:pos="426"/>
          <w:tab w:val="left" w:pos="709"/>
        </w:tabs>
        <w:spacing w:after="0" w:line="240" w:lineRule="auto"/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индивидуальные предприниматели – 19.</w:t>
      </w:r>
    </w:p>
    <w:p w:rsidR="00F47632" w:rsidRPr="00497D9D" w:rsidRDefault="00F47632" w:rsidP="00F476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97D9D">
        <w:rPr>
          <w:rFonts w:ascii="PT Astra Serif" w:hAnsi="PT Astra Serif"/>
          <w:sz w:val="28"/>
          <w:szCs w:val="28"/>
          <w:lang w:eastAsia="ru-RU"/>
        </w:rPr>
        <w:t>При осуществлении регионального государственного контроля (надзора) в сфере отдыха детей и их оздоровления – 548 объектов контроля, в том числе:</w:t>
      </w:r>
    </w:p>
    <w:p w:rsidR="00F47632" w:rsidRPr="00497D9D" w:rsidRDefault="00F47632" w:rsidP="00F476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97D9D">
        <w:rPr>
          <w:rFonts w:ascii="PT Astra Serif" w:hAnsi="PT Astra Serif"/>
          <w:sz w:val="28"/>
          <w:szCs w:val="28"/>
          <w:lang w:eastAsia="ru-RU"/>
        </w:rPr>
        <w:t xml:space="preserve">организованы при образовательных организациях – 381, </w:t>
      </w:r>
    </w:p>
    <w:p w:rsidR="00F47632" w:rsidRPr="00497D9D" w:rsidRDefault="00F47632" w:rsidP="00F476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97D9D">
        <w:rPr>
          <w:rFonts w:ascii="PT Astra Serif" w:hAnsi="PT Astra Serif"/>
          <w:sz w:val="28"/>
          <w:szCs w:val="28"/>
          <w:lang w:eastAsia="ru-RU"/>
        </w:rPr>
        <w:t xml:space="preserve">детских лагерей труда и отдыха – 132, </w:t>
      </w:r>
    </w:p>
    <w:p w:rsidR="00F47632" w:rsidRPr="00497D9D" w:rsidRDefault="00F47632" w:rsidP="00F476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497D9D">
        <w:rPr>
          <w:rFonts w:ascii="PT Astra Serif" w:hAnsi="PT Astra Serif"/>
          <w:sz w:val="28"/>
          <w:szCs w:val="28"/>
          <w:lang w:eastAsia="ru-RU"/>
        </w:rPr>
        <w:t>загородных и иных лагерей – 35.</w:t>
      </w:r>
    </w:p>
    <w:tbl>
      <w:tblPr>
        <w:tblStyle w:val="a4"/>
        <w:tblpPr w:leftFromText="180" w:rightFromText="180" w:vertAnchor="text" w:horzAnchor="margin" w:tblpXSpec="center" w:tblpY="190"/>
        <w:tblW w:w="10086" w:type="dxa"/>
        <w:tblLook w:val="04A0" w:firstRow="1" w:lastRow="0" w:firstColumn="1" w:lastColumn="0" w:noHBand="0" w:noVBand="1"/>
      </w:tblPr>
      <w:tblGrid>
        <w:gridCol w:w="2110"/>
        <w:gridCol w:w="819"/>
        <w:gridCol w:w="744"/>
        <w:gridCol w:w="590"/>
        <w:gridCol w:w="763"/>
        <w:gridCol w:w="576"/>
        <w:gridCol w:w="755"/>
        <w:gridCol w:w="763"/>
        <w:gridCol w:w="547"/>
        <w:gridCol w:w="835"/>
        <w:gridCol w:w="590"/>
        <w:gridCol w:w="994"/>
      </w:tblGrid>
      <w:tr w:rsidR="00B326F6" w:rsidRPr="00DD0729" w:rsidTr="00B326F6">
        <w:tc>
          <w:tcPr>
            <w:tcW w:w="2110" w:type="dxa"/>
            <w:vMerge w:val="restart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Контролируемые лица</w:t>
            </w:r>
          </w:p>
        </w:tc>
        <w:tc>
          <w:tcPr>
            <w:tcW w:w="6982" w:type="dxa"/>
            <w:gridSpan w:val="10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ФГКН</w:t>
            </w:r>
          </w:p>
        </w:tc>
        <w:tc>
          <w:tcPr>
            <w:tcW w:w="994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РГКН</w:t>
            </w:r>
          </w:p>
        </w:tc>
      </w:tr>
      <w:tr w:rsidR="00B326F6" w:rsidRPr="00DD0729" w:rsidTr="00B326F6">
        <w:tc>
          <w:tcPr>
            <w:tcW w:w="2110" w:type="dxa"/>
            <w:vMerge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19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744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ДОУ</w:t>
            </w:r>
          </w:p>
        </w:tc>
        <w:tc>
          <w:tcPr>
            <w:tcW w:w="590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ОО</w:t>
            </w:r>
          </w:p>
        </w:tc>
        <w:tc>
          <w:tcPr>
            <w:tcW w:w="763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СПО</w:t>
            </w:r>
          </w:p>
        </w:tc>
        <w:tc>
          <w:tcPr>
            <w:tcW w:w="576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ДО</w:t>
            </w:r>
          </w:p>
        </w:tc>
        <w:tc>
          <w:tcPr>
            <w:tcW w:w="755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ДПО</w:t>
            </w:r>
          </w:p>
        </w:tc>
        <w:tc>
          <w:tcPr>
            <w:tcW w:w="763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СОЦ</w:t>
            </w:r>
          </w:p>
        </w:tc>
        <w:tc>
          <w:tcPr>
            <w:tcW w:w="547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ДД</w:t>
            </w:r>
          </w:p>
        </w:tc>
        <w:tc>
          <w:tcPr>
            <w:tcW w:w="835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Иные</w:t>
            </w:r>
          </w:p>
        </w:tc>
        <w:tc>
          <w:tcPr>
            <w:tcW w:w="590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 w:rsidRPr="00DD0729">
              <w:rPr>
                <w:rFonts w:ascii="PT Astra Serif" w:hAnsi="PT Astra Serif"/>
                <w:b/>
                <w:sz w:val="24"/>
                <w:szCs w:val="24"/>
              </w:rPr>
              <w:t>ИП</w:t>
            </w:r>
          </w:p>
        </w:tc>
        <w:tc>
          <w:tcPr>
            <w:tcW w:w="994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Лагеря</w:t>
            </w:r>
          </w:p>
        </w:tc>
      </w:tr>
      <w:tr w:rsidR="00B326F6" w:rsidRPr="00DD0729" w:rsidTr="00B326F6">
        <w:tc>
          <w:tcPr>
            <w:tcW w:w="2110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819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1040</w:t>
            </w:r>
          </w:p>
        </w:tc>
        <w:tc>
          <w:tcPr>
            <w:tcW w:w="744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399</w:t>
            </w:r>
          </w:p>
        </w:tc>
        <w:tc>
          <w:tcPr>
            <w:tcW w:w="763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76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156</w:t>
            </w:r>
          </w:p>
        </w:tc>
        <w:tc>
          <w:tcPr>
            <w:tcW w:w="755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763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47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35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105</w:t>
            </w:r>
          </w:p>
        </w:tc>
        <w:tc>
          <w:tcPr>
            <w:tcW w:w="590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994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548</w:t>
            </w:r>
          </w:p>
        </w:tc>
      </w:tr>
      <w:tr w:rsidR="00B326F6" w:rsidRPr="00DD0729" w:rsidTr="00B326F6">
        <w:tc>
          <w:tcPr>
            <w:tcW w:w="2110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 xml:space="preserve">Высокая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(умеренная) </w:t>
            </w:r>
            <w:r w:rsidRPr="00DD0729">
              <w:rPr>
                <w:rFonts w:ascii="PT Astra Serif" w:hAnsi="PT Astra Serif"/>
                <w:sz w:val="24"/>
                <w:szCs w:val="24"/>
              </w:rPr>
              <w:t>категория риска</w:t>
            </w:r>
          </w:p>
        </w:tc>
        <w:tc>
          <w:tcPr>
            <w:tcW w:w="819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744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90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76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55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763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312</w:t>
            </w:r>
          </w:p>
        </w:tc>
      </w:tr>
      <w:tr w:rsidR="00B326F6" w:rsidRPr="00DD0729" w:rsidTr="00B326F6">
        <w:tc>
          <w:tcPr>
            <w:tcW w:w="2110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Средняя категория риска</w:t>
            </w:r>
          </w:p>
        </w:tc>
        <w:tc>
          <w:tcPr>
            <w:tcW w:w="819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744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90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763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76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55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763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47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35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0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4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</w:tr>
      <w:tr w:rsidR="00B326F6" w:rsidRPr="00DD0729" w:rsidTr="00B326F6">
        <w:tc>
          <w:tcPr>
            <w:tcW w:w="2110" w:type="dxa"/>
          </w:tcPr>
          <w:p w:rsidR="00B326F6" w:rsidRPr="00DD0729" w:rsidRDefault="00B326F6" w:rsidP="00B326F6">
            <w:pPr>
              <w:spacing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Низкая категория риска</w:t>
            </w:r>
          </w:p>
        </w:tc>
        <w:tc>
          <w:tcPr>
            <w:tcW w:w="819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986</w:t>
            </w:r>
          </w:p>
        </w:tc>
        <w:tc>
          <w:tcPr>
            <w:tcW w:w="744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239</w:t>
            </w:r>
          </w:p>
        </w:tc>
        <w:tc>
          <w:tcPr>
            <w:tcW w:w="590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370</w:t>
            </w:r>
          </w:p>
        </w:tc>
        <w:tc>
          <w:tcPr>
            <w:tcW w:w="763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576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152</w:t>
            </w:r>
          </w:p>
        </w:tc>
        <w:tc>
          <w:tcPr>
            <w:tcW w:w="755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763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47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35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102</w:t>
            </w:r>
          </w:p>
        </w:tc>
        <w:tc>
          <w:tcPr>
            <w:tcW w:w="590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D0729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994" w:type="dxa"/>
            <w:vAlign w:val="center"/>
          </w:tcPr>
          <w:p w:rsidR="00B326F6" w:rsidRPr="00DD0729" w:rsidRDefault="00B326F6" w:rsidP="00B326F6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199</w:t>
            </w:r>
          </w:p>
        </w:tc>
      </w:tr>
    </w:tbl>
    <w:p w:rsidR="00E4561D" w:rsidRDefault="00E4561D" w:rsidP="00F4763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F47632" w:rsidRDefault="00F47632" w:rsidP="00F47632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Все объекты контроля в соответствии с установленными критериями распределены по категориям риска, </w:t>
      </w:r>
      <w:r>
        <w:rPr>
          <w:rFonts w:ascii="PT Astra Serif" w:hAnsi="PT Astra Serif"/>
          <w:sz w:val="28"/>
          <w:szCs w:val="28"/>
        </w:rPr>
        <w:t>из них отнесено:</w:t>
      </w:r>
    </w:p>
    <w:p w:rsidR="00F47632" w:rsidRDefault="00F47632" w:rsidP="00F47632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к высокой категории – 5</w:t>
      </w:r>
      <w:r w:rsidR="00497D9D">
        <w:rPr>
          <w:rFonts w:ascii="PT Astra Serif" w:hAnsi="PT Astra Serif"/>
          <w:sz w:val="28"/>
          <w:szCs w:val="28"/>
        </w:rPr>
        <w:t xml:space="preserve"> (ФГКН)/умеренной – 548 (РГКН)</w:t>
      </w:r>
      <w:r>
        <w:rPr>
          <w:rFonts w:ascii="PT Astra Serif" w:hAnsi="PT Astra Serif"/>
          <w:sz w:val="28"/>
          <w:szCs w:val="28"/>
        </w:rPr>
        <w:t>;</w:t>
      </w:r>
    </w:p>
    <w:p w:rsidR="00F47632" w:rsidRDefault="00F47632" w:rsidP="00F47632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средней категории – 49</w:t>
      </w:r>
      <w:r w:rsidR="00497D9D">
        <w:rPr>
          <w:rFonts w:ascii="PT Astra Serif" w:hAnsi="PT Astra Serif"/>
          <w:sz w:val="28"/>
          <w:szCs w:val="28"/>
        </w:rPr>
        <w:t xml:space="preserve"> (ФГКН)/37 (РГКН)</w:t>
      </w:r>
      <w:r>
        <w:rPr>
          <w:rFonts w:ascii="PT Astra Serif" w:hAnsi="PT Astra Serif"/>
          <w:sz w:val="28"/>
          <w:szCs w:val="28"/>
        </w:rPr>
        <w:t>;</w:t>
      </w:r>
    </w:p>
    <w:p w:rsidR="00F47632" w:rsidRDefault="00F47632" w:rsidP="00F47632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низкой категории – 986</w:t>
      </w:r>
      <w:r w:rsidR="00497D9D">
        <w:rPr>
          <w:rFonts w:ascii="PT Astra Serif" w:hAnsi="PT Astra Serif"/>
          <w:sz w:val="28"/>
          <w:szCs w:val="28"/>
        </w:rPr>
        <w:t xml:space="preserve"> (ФГКН)/199(РГКН)</w:t>
      </w:r>
      <w:r>
        <w:rPr>
          <w:rFonts w:ascii="PT Astra Serif" w:hAnsi="PT Astra Serif"/>
          <w:sz w:val="28"/>
          <w:szCs w:val="28"/>
        </w:rPr>
        <w:t>.</w:t>
      </w:r>
    </w:p>
    <w:p w:rsidR="006E19CF" w:rsidRDefault="006E19CF" w:rsidP="006B7D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</w:t>
      </w:r>
      <w:r w:rsidR="006B7D64">
        <w:rPr>
          <w:rFonts w:ascii="PT Astra Serif" w:hAnsi="PT Astra Serif"/>
          <w:sz w:val="28"/>
          <w:szCs w:val="28"/>
          <w:lang w:eastAsia="ru-RU"/>
        </w:rPr>
        <w:t>рофилактическая работа</w:t>
      </w:r>
      <w:r w:rsidR="003F261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строилась</w:t>
      </w:r>
      <w:r w:rsidR="003F26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6E19CF">
        <w:rPr>
          <w:rFonts w:ascii="PT Astra Serif" w:hAnsi="PT Astra Serif"/>
          <w:sz w:val="28"/>
          <w:szCs w:val="28"/>
          <w:lang w:eastAsia="ru-RU"/>
        </w:rPr>
        <w:t xml:space="preserve">на основе управления рисками причинения вреда (ущерба) </w:t>
      </w:r>
      <w:r>
        <w:rPr>
          <w:rFonts w:ascii="PT Astra Serif" w:hAnsi="PT Astra Serif"/>
          <w:sz w:val="28"/>
          <w:szCs w:val="28"/>
          <w:lang w:eastAsia="ru-RU"/>
        </w:rPr>
        <w:t>с учетом проведенного в 2022 году категорирования объектов контроля</w:t>
      </w:r>
      <w:r w:rsidR="006B7D64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6B7D64" w:rsidRDefault="00194E68" w:rsidP="006B7D6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По сравнению с 2022 годом на 5% увеличился о</w:t>
      </w:r>
      <w:r w:rsidR="006B7D64">
        <w:rPr>
          <w:rFonts w:ascii="PT Astra Serif" w:hAnsi="PT Astra Serif"/>
          <w:sz w:val="28"/>
          <w:szCs w:val="28"/>
          <w:lang w:eastAsia="ru-RU"/>
        </w:rPr>
        <w:t>бщий объем проведенных профилактических мероприятий</w:t>
      </w:r>
      <w:r>
        <w:rPr>
          <w:rFonts w:ascii="PT Astra Serif" w:hAnsi="PT Astra Serif"/>
          <w:sz w:val="28"/>
          <w:szCs w:val="28"/>
          <w:lang w:eastAsia="ru-RU"/>
        </w:rPr>
        <w:t xml:space="preserve">, а по федеральному государственному контролю (надзору) в сфере образования– </w:t>
      </w:r>
      <w:r w:rsidR="006B7D64">
        <w:rPr>
          <w:rFonts w:ascii="PT Astra Serif" w:hAnsi="PT Astra Serif"/>
          <w:sz w:val="28"/>
          <w:szCs w:val="28"/>
          <w:lang w:eastAsia="ru-RU"/>
        </w:rPr>
        <w:t>на 15%.</w:t>
      </w:r>
    </w:p>
    <w:p w:rsidR="00E4561D" w:rsidRDefault="00E4561D" w:rsidP="00E45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отношении объектов, отнесенных к высокой категории риска, а также в отношении организаций, впервые получивших лицензию или включенных в реестр организаций отдыха детей и их оздоровления, были проведены профилактические визиты. И хотя организация вправе от него отказаться, ни одного такого случая не зафиксировано. Более того, в 2023 году контролируемые лица чаще проявляли инициативу и сами обращались с заявлением о профилактическом визите (если в 2022 году их было 46, то в 2023 году мы получили 53 таких заявления). Постепенно </w:t>
      </w:r>
      <w:r w:rsidR="006E19CF">
        <w:rPr>
          <w:rFonts w:ascii="PT Astra Serif" w:hAnsi="PT Astra Serif"/>
          <w:sz w:val="28"/>
          <w:szCs w:val="28"/>
          <w:lang w:eastAsia="ru-RU"/>
        </w:rPr>
        <w:t xml:space="preserve">растет уровень доверия к контролирующему органу, а вместе с ним </w:t>
      </w:r>
      <w:r>
        <w:rPr>
          <w:rFonts w:ascii="PT Astra Serif" w:hAnsi="PT Astra Serif"/>
          <w:sz w:val="28"/>
          <w:szCs w:val="28"/>
          <w:lang w:eastAsia="ru-RU"/>
        </w:rPr>
        <w:t>уходит «страх», который возни</w:t>
      </w:r>
      <w:r w:rsidR="006E19CF">
        <w:rPr>
          <w:rFonts w:ascii="PT Astra Serif" w:hAnsi="PT Astra Serif"/>
          <w:sz w:val="28"/>
          <w:szCs w:val="28"/>
          <w:lang w:eastAsia="ru-RU"/>
        </w:rPr>
        <w:t>кает перед проведением проверок</w:t>
      </w:r>
      <w:r>
        <w:rPr>
          <w:rFonts w:ascii="PT Astra Serif" w:hAnsi="PT Astra Serif"/>
          <w:sz w:val="28"/>
          <w:szCs w:val="28"/>
          <w:lang w:eastAsia="ru-RU"/>
        </w:rPr>
        <w:t>. Контролируемые лица осознают важность получения дополнительной информации об осуществлении государственного контроля (надзора), консультирования по вопросам соблюдения обязательных требований, а также рекомендаций о способах снижения риска при осуществлении образовательной деятельности.</w:t>
      </w:r>
    </w:p>
    <w:p w:rsidR="00666B69" w:rsidRDefault="00666B69" w:rsidP="00666B69">
      <w:pPr>
        <w:spacing w:after="0" w:line="25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7"/>
        <w:gridCol w:w="1753"/>
        <w:gridCol w:w="1753"/>
        <w:gridCol w:w="1573"/>
        <w:gridCol w:w="1569"/>
      </w:tblGrid>
      <w:tr w:rsidR="001B2ADC" w:rsidTr="001B2ADC">
        <w:tc>
          <w:tcPr>
            <w:tcW w:w="2697" w:type="dxa"/>
            <w:vMerge w:val="restart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Период реализации Программы профилактики</w:t>
            </w:r>
          </w:p>
        </w:tc>
        <w:tc>
          <w:tcPr>
            <w:tcW w:w="3568" w:type="dxa"/>
            <w:gridSpan w:val="2"/>
          </w:tcPr>
          <w:p w:rsidR="001B2ADC" w:rsidRP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8"/>
                <w:szCs w:val="28"/>
              </w:rPr>
              <w:t>ФГКН</w:t>
            </w:r>
          </w:p>
        </w:tc>
        <w:tc>
          <w:tcPr>
            <w:tcW w:w="3306" w:type="dxa"/>
            <w:gridSpan w:val="2"/>
          </w:tcPr>
          <w:p w:rsidR="001B2ADC" w:rsidRP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8"/>
                <w:szCs w:val="28"/>
              </w:rPr>
              <w:t>РГКН</w:t>
            </w:r>
          </w:p>
        </w:tc>
      </w:tr>
      <w:tr w:rsidR="001B2ADC" w:rsidTr="001B2ADC">
        <w:tc>
          <w:tcPr>
            <w:tcW w:w="2697" w:type="dxa"/>
            <w:vMerge/>
            <w:vAlign w:val="center"/>
          </w:tcPr>
          <w:p w:rsidR="001B2ADC" w:rsidRDefault="001B2ADC" w:rsidP="001B2ADC">
            <w:pPr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84" w:type="dxa"/>
            <w:vAlign w:val="center"/>
          </w:tcPr>
          <w:p w:rsidR="001B2ADC" w:rsidRP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2022 год</w:t>
            </w:r>
          </w:p>
        </w:tc>
        <w:tc>
          <w:tcPr>
            <w:tcW w:w="1784" w:type="dxa"/>
            <w:vAlign w:val="center"/>
          </w:tcPr>
          <w:p w:rsidR="001B2ADC" w:rsidRP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2023 год</w:t>
            </w:r>
          </w:p>
        </w:tc>
        <w:tc>
          <w:tcPr>
            <w:tcW w:w="1655" w:type="dxa"/>
            <w:vAlign w:val="center"/>
          </w:tcPr>
          <w:p w:rsidR="001B2ADC" w:rsidRP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2022 год</w:t>
            </w:r>
          </w:p>
        </w:tc>
        <w:tc>
          <w:tcPr>
            <w:tcW w:w="1651" w:type="dxa"/>
            <w:vAlign w:val="center"/>
          </w:tcPr>
          <w:p w:rsidR="001B2ADC" w:rsidRP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2023 год</w:t>
            </w:r>
          </w:p>
        </w:tc>
      </w:tr>
      <w:tr w:rsidR="001B2ADC" w:rsidTr="001B2ADC">
        <w:tc>
          <w:tcPr>
            <w:tcW w:w="2697" w:type="dxa"/>
            <w:vAlign w:val="center"/>
          </w:tcPr>
          <w:p w:rsidR="001B2ADC" w:rsidRDefault="001B2ADC" w:rsidP="00666B69">
            <w:pPr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Информирование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244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277</w:t>
            </w:r>
          </w:p>
        </w:tc>
        <w:tc>
          <w:tcPr>
            <w:tcW w:w="1655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651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</w:tr>
      <w:tr w:rsidR="001B2ADC" w:rsidTr="001B2ADC">
        <w:tc>
          <w:tcPr>
            <w:tcW w:w="2697" w:type="dxa"/>
            <w:vAlign w:val="center"/>
          </w:tcPr>
          <w:p w:rsidR="001B2ADC" w:rsidRDefault="001B2ADC" w:rsidP="00666B69">
            <w:pPr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281</w:t>
            </w:r>
          </w:p>
        </w:tc>
        <w:tc>
          <w:tcPr>
            <w:tcW w:w="1655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150</w:t>
            </w:r>
          </w:p>
        </w:tc>
        <w:tc>
          <w:tcPr>
            <w:tcW w:w="1651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86</w:t>
            </w:r>
          </w:p>
        </w:tc>
      </w:tr>
      <w:tr w:rsidR="001B2ADC" w:rsidTr="001B2ADC">
        <w:tc>
          <w:tcPr>
            <w:tcW w:w="2697" w:type="dxa"/>
            <w:vAlign w:val="center"/>
          </w:tcPr>
          <w:p w:rsidR="001B2ADC" w:rsidRDefault="001B2ADC" w:rsidP="00666B69">
            <w:pPr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51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1B2ADC" w:rsidTr="001B2ADC">
        <w:tc>
          <w:tcPr>
            <w:tcW w:w="2697" w:type="dxa"/>
            <w:vAlign w:val="center"/>
          </w:tcPr>
          <w:p w:rsidR="001B2ADC" w:rsidRDefault="001B2ADC" w:rsidP="00666B69">
            <w:pPr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392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334</w:t>
            </w:r>
          </w:p>
        </w:tc>
        <w:tc>
          <w:tcPr>
            <w:tcW w:w="1655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108</w:t>
            </w:r>
          </w:p>
        </w:tc>
        <w:tc>
          <w:tcPr>
            <w:tcW w:w="1651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</w:tr>
      <w:tr w:rsidR="001B2ADC" w:rsidTr="001B2ADC">
        <w:tc>
          <w:tcPr>
            <w:tcW w:w="2697" w:type="dxa"/>
            <w:vAlign w:val="center"/>
          </w:tcPr>
          <w:p w:rsidR="001B2ADC" w:rsidRDefault="001B2ADC" w:rsidP="00666B69">
            <w:pPr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Профилактические визиты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62,</w:t>
            </w:r>
          </w:p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 них по инициативе КЛ – 46</w:t>
            </w:r>
          </w:p>
        </w:tc>
        <w:tc>
          <w:tcPr>
            <w:tcW w:w="1784" w:type="dxa"/>
            <w:vAlign w:val="center"/>
          </w:tcPr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76,</w:t>
            </w:r>
          </w:p>
          <w:p w:rsidR="001B2ADC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из них по инициативе КЛ – 53</w:t>
            </w:r>
          </w:p>
        </w:tc>
        <w:tc>
          <w:tcPr>
            <w:tcW w:w="1655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1651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94E68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</w:tr>
      <w:tr w:rsidR="001B2ADC" w:rsidTr="001B2ADC">
        <w:tc>
          <w:tcPr>
            <w:tcW w:w="2697" w:type="dxa"/>
            <w:vAlign w:val="center"/>
          </w:tcPr>
          <w:p w:rsidR="001B2ADC" w:rsidRDefault="001B2ADC" w:rsidP="00666B69">
            <w:pPr>
              <w:spacing w:line="25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B2ADC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vAlign w:val="center"/>
          </w:tcPr>
          <w:p w:rsidR="001B2ADC" w:rsidRPr="00D735A6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35A6">
              <w:rPr>
                <w:rFonts w:ascii="PT Astra Serif" w:hAnsi="PT Astra Serif"/>
                <w:b/>
                <w:sz w:val="28"/>
                <w:szCs w:val="28"/>
              </w:rPr>
              <w:t>843</w:t>
            </w:r>
          </w:p>
        </w:tc>
        <w:tc>
          <w:tcPr>
            <w:tcW w:w="1784" w:type="dxa"/>
            <w:vAlign w:val="center"/>
          </w:tcPr>
          <w:p w:rsidR="001B2ADC" w:rsidRPr="00D735A6" w:rsidRDefault="001B2ADC" w:rsidP="001B2ADC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735A6">
              <w:rPr>
                <w:rFonts w:ascii="PT Astra Serif" w:hAnsi="PT Astra Serif"/>
                <w:b/>
                <w:sz w:val="28"/>
                <w:szCs w:val="28"/>
              </w:rPr>
              <w:t>969</w:t>
            </w:r>
          </w:p>
        </w:tc>
        <w:tc>
          <w:tcPr>
            <w:tcW w:w="1655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4E68">
              <w:rPr>
                <w:rFonts w:ascii="PT Astra Serif" w:hAnsi="PT Astra Serif"/>
                <w:b/>
                <w:sz w:val="28"/>
                <w:szCs w:val="28"/>
              </w:rPr>
              <w:t>305</w:t>
            </w:r>
          </w:p>
        </w:tc>
        <w:tc>
          <w:tcPr>
            <w:tcW w:w="1651" w:type="dxa"/>
            <w:vAlign w:val="center"/>
          </w:tcPr>
          <w:p w:rsidR="001B2ADC" w:rsidRPr="00194E68" w:rsidRDefault="00127CD3" w:rsidP="00194E68">
            <w:pPr>
              <w:spacing w:line="257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194E68">
              <w:rPr>
                <w:rFonts w:ascii="PT Astra Serif" w:hAnsi="PT Astra Serif"/>
                <w:b/>
                <w:sz w:val="28"/>
                <w:szCs w:val="28"/>
              </w:rPr>
              <w:t>240</w:t>
            </w:r>
          </w:p>
        </w:tc>
      </w:tr>
    </w:tbl>
    <w:p w:rsidR="001B2ADC" w:rsidRDefault="001B2ADC" w:rsidP="00666B69">
      <w:pPr>
        <w:spacing w:after="0" w:line="257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6218A6" w:rsidRDefault="006218A6" w:rsidP="00B7237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2024 год запланировано проведение 80 обязательных профилактических визитов в отношении </w:t>
      </w:r>
      <w:r w:rsidRPr="006218A6">
        <w:rPr>
          <w:rFonts w:ascii="PT Astra Serif" w:hAnsi="PT Astra Serif"/>
          <w:sz w:val="28"/>
          <w:szCs w:val="28"/>
        </w:rPr>
        <w:t>организаций, впервые получивших лицензию</w:t>
      </w:r>
      <w:r>
        <w:rPr>
          <w:rFonts w:ascii="PT Astra Serif" w:hAnsi="PT Astra Serif"/>
          <w:sz w:val="28"/>
          <w:szCs w:val="28"/>
        </w:rPr>
        <w:t xml:space="preserve"> либо </w:t>
      </w:r>
      <w:r w:rsidRPr="006218A6">
        <w:rPr>
          <w:rFonts w:ascii="PT Astra Serif" w:hAnsi="PT Astra Serif"/>
          <w:sz w:val="28"/>
          <w:szCs w:val="28"/>
        </w:rPr>
        <w:t>получивших право на осуществление образовательной деятельности по новому для них уровню</w:t>
      </w:r>
      <w:r>
        <w:rPr>
          <w:rFonts w:ascii="PT Astra Serif" w:hAnsi="PT Astra Serif"/>
          <w:sz w:val="28"/>
          <w:szCs w:val="28"/>
        </w:rPr>
        <w:t>/виду</w:t>
      </w:r>
      <w:r w:rsidRPr="006218A6">
        <w:rPr>
          <w:rFonts w:ascii="PT Astra Serif" w:hAnsi="PT Astra Serif"/>
          <w:sz w:val="28"/>
          <w:szCs w:val="28"/>
        </w:rPr>
        <w:t xml:space="preserve"> образования</w:t>
      </w:r>
      <w:r>
        <w:rPr>
          <w:rFonts w:ascii="PT Astra Serif" w:hAnsi="PT Astra Serif"/>
          <w:sz w:val="28"/>
          <w:szCs w:val="28"/>
        </w:rPr>
        <w:t xml:space="preserve"> в рамках осуществления федерального государственного контроля (надзора) в сфере </w:t>
      </w:r>
      <w:r>
        <w:rPr>
          <w:rFonts w:ascii="PT Astra Serif" w:hAnsi="PT Astra Serif"/>
          <w:sz w:val="28"/>
          <w:szCs w:val="28"/>
        </w:rPr>
        <w:lastRenderedPageBreak/>
        <w:t xml:space="preserve">образования, а также </w:t>
      </w:r>
      <w:r w:rsidR="00F47632" w:rsidRPr="00F47632">
        <w:rPr>
          <w:rFonts w:ascii="PT Astra Serif" w:hAnsi="PT Astra Serif"/>
          <w:sz w:val="28"/>
          <w:szCs w:val="28"/>
        </w:rPr>
        <w:t>30</w:t>
      </w:r>
      <w:r w:rsidRPr="00F47632">
        <w:rPr>
          <w:rFonts w:ascii="PT Astra Serif" w:hAnsi="PT Astra Serif"/>
          <w:sz w:val="28"/>
          <w:szCs w:val="28"/>
        </w:rPr>
        <w:t xml:space="preserve"> обязательных</w:t>
      </w:r>
      <w:r>
        <w:rPr>
          <w:rFonts w:ascii="PT Astra Serif" w:hAnsi="PT Astra Serif"/>
          <w:sz w:val="28"/>
          <w:szCs w:val="28"/>
        </w:rPr>
        <w:t xml:space="preserve"> профилактических визитов в отношении организаций, впервые </w:t>
      </w:r>
      <w:r>
        <w:rPr>
          <w:rFonts w:ascii="PT Astra Serif" w:hAnsi="PT Astra Serif"/>
          <w:sz w:val="28"/>
          <w:szCs w:val="28"/>
          <w:lang w:eastAsia="ru-RU"/>
        </w:rPr>
        <w:t xml:space="preserve">включенных в реестр организаций отдыха детей и их оздоровления в рамках регионального </w:t>
      </w:r>
      <w:r>
        <w:rPr>
          <w:rFonts w:ascii="PT Astra Serif" w:hAnsi="PT Astra Serif"/>
          <w:sz w:val="28"/>
          <w:szCs w:val="28"/>
        </w:rPr>
        <w:t>государственного контроля (надзора).</w:t>
      </w:r>
    </w:p>
    <w:p w:rsidR="006218A6" w:rsidRDefault="006218A6" w:rsidP="00B7237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Кроме того, </w:t>
      </w:r>
      <w:r w:rsidR="00B0362B">
        <w:rPr>
          <w:rFonts w:ascii="PT Astra Serif" w:hAnsi="PT Astra Serif"/>
          <w:sz w:val="28"/>
          <w:szCs w:val="28"/>
        </w:rPr>
        <w:t xml:space="preserve">будет продолжена практика проведения профилактических визитов </w:t>
      </w:r>
      <w:r w:rsidR="00B0362B" w:rsidRPr="00B0362B">
        <w:rPr>
          <w:rFonts w:ascii="PT Astra Serif" w:hAnsi="PT Astra Serif"/>
          <w:sz w:val="28"/>
          <w:szCs w:val="28"/>
        </w:rPr>
        <w:t>по инициативе контролируемых лиц</w:t>
      </w:r>
      <w:r w:rsidR="00B0362B">
        <w:rPr>
          <w:rFonts w:ascii="PT Astra Serif" w:hAnsi="PT Astra Serif"/>
          <w:sz w:val="28"/>
          <w:szCs w:val="28"/>
        </w:rPr>
        <w:t xml:space="preserve">. В департамент уже поступило </w:t>
      </w:r>
      <w:r w:rsidR="009B20CE">
        <w:rPr>
          <w:rFonts w:ascii="PT Astra Serif" w:hAnsi="PT Astra Serif"/>
          <w:sz w:val="28"/>
          <w:szCs w:val="28"/>
        </w:rPr>
        <w:t>12</w:t>
      </w:r>
      <w:r w:rsidR="00B0362B">
        <w:rPr>
          <w:rFonts w:ascii="PT Astra Serif" w:hAnsi="PT Astra Serif"/>
          <w:sz w:val="28"/>
          <w:szCs w:val="28"/>
        </w:rPr>
        <w:t xml:space="preserve"> заявлений. Мы предлагаем на муниципальном уровне проанализировать ситуацию с отнесением подведомственных организаций к категориям риска и принять необходимые управленческие решения.</w:t>
      </w:r>
    </w:p>
    <w:p w:rsidR="00E4316D" w:rsidRDefault="00E4316D" w:rsidP="00E431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Такая работа не безрезультатна. Примером может служить снижение количества предостережений о недопустимости нарушения обязательных требований, объявленных по результатам мониторингов безопасности, – на 15%, несмотря на то, что контрольных надзорных мероприятий без взаимодействия с контролируемыми лицами в 2023 году проведено больше на 37%.</w:t>
      </w:r>
    </w:p>
    <w:p w:rsidR="00E4561D" w:rsidRDefault="00E4561D" w:rsidP="003F261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Отмечу, что мониторинги безопасности позволяют получать сведения о деятельности различных организаций и делать выводы о соблюдении обязательных требований с помощью информационных систем либо из открытых источников, в том числе на основе информации, размещенной на официальных сайтах в сети «Интернет», без какого-либо административного давления и направления запросов в организацию. </w:t>
      </w:r>
      <w:r w:rsidR="00E4316D">
        <w:rPr>
          <w:rFonts w:ascii="PT Astra Serif" w:hAnsi="PT Astra Serif"/>
          <w:sz w:val="28"/>
          <w:szCs w:val="28"/>
          <w:lang w:eastAsia="ru-RU"/>
        </w:rPr>
        <w:t xml:space="preserve">Они проводятся </w:t>
      </w:r>
      <w:r w:rsidR="00E4316D">
        <w:rPr>
          <w:rFonts w:ascii="PT Astra Serif" w:hAnsi="PT Astra Serif"/>
          <w:sz w:val="28"/>
          <w:szCs w:val="28"/>
        </w:rPr>
        <w:t>на основании заданий</w:t>
      </w:r>
      <w:r w:rsidR="00E4316D">
        <w:rPr>
          <w:rFonts w:ascii="PT Astra Serif" w:hAnsi="PT Astra Serif"/>
          <w:sz w:val="28"/>
          <w:szCs w:val="28"/>
          <w:lang w:eastAsia="ru-RU"/>
        </w:rPr>
        <w:t xml:space="preserve"> по наиболее актуальным направлениям деятельности образовательных организаций</w:t>
      </w:r>
      <w:r w:rsidR="003F26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4316D">
        <w:rPr>
          <w:rFonts w:ascii="PT Astra Serif" w:hAnsi="PT Astra Serif"/>
          <w:sz w:val="28"/>
          <w:szCs w:val="28"/>
        </w:rPr>
        <w:t>без взаимодействия с контролируемыми лицами</w:t>
      </w:r>
      <w:r w:rsidR="00E4316D">
        <w:rPr>
          <w:rFonts w:ascii="PT Astra Serif" w:hAnsi="PT Astra Serif"/>
          <w:sz w:val="28"/>
          <w:szCs w:val="28"/>
          <w:lang w:eastAsia="ru-RU"/>
        </w:rPr>
        <w:t xml:space="preserve">. </w:t>
      </w:r>
      <w:r w:rsidR="00E4316D">
        <w:rPr>
          <w:rFonts w:ascii="PT Astra Serif" w:hAnsi="PT Astra Serif"/>
          <w:sz w:val="28"/>
          <w:szCs w:val="28"/>
        </w:rPr>
        <w:t xml:space="preserve">Наблюдение за соблюдением обязательных требований (мониторинга безопасности) </w:t>
      </w:r>
      <w:r>
        <w:rPr>
          <w:rFonts w:ascii="PT Astra Serif" w:hAnsi="PT Astra Serif"/>
          <w:sz w:val="28"/>
          <w:szCs w:val="28"/>
          <w:lang w:eastAsia="ru-RU"/>
        </w:rPr>
        <w:t xml:space="preserve">не мешает </w:t>
      </w:r>
      <w:r w:rsidR="00E4316D">
        <w:rPr>
          <w:rFonts w:ascii="PT Astra Serif" w:hAnsi="PT Astra Serif"/>
          <w:sz w:val="28"/>
          <w:szCs w:val="28"/>
          <w:lang w:eastAsia="ru-RU"/>
        </w:rPr>
        <w:t xml:space="preserve">их </w:t>
      </w:r>
      <w:r>
        <w:rPr>
          <w:rFonts w:ascii="PT Astra Serif" w:hAnsi="PT Astra Serif"/>
          <w:sz w:val="28"/>
          <w:szCs w:val="28"/>
          <w:lang w:eastAsia="ru-RU"/>
        </w:rPr>
        <w:t xml:space="preserve">работе </w:t>
      </w:r>
      <w:r w:rsidR="00E4316D">
        <w:rPr>
          <w:rFonts w:ascii="PT Astra Serif" w:hAnsi="PT Astra Serif"/>
          <w:sz w:val="28"/>
          <w:szCs w:val="28"/>
          <w:lang w:eastAsia="ru-RU"/>
        </w:rPr>
        <w:t>и не создает дополнительных административных барьеров</w:t>
      </w:r>
      <w:r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3C40DF" w:rsidRDefault="003C40DF" w:rsidP="00106F0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4"/>
        <w:tblW w:w="9596" w:type="dxa"/>
        <w:tblLayout w:type="fixed"/>
        <w:tblLook w:val="04A0" w:firstRow="1" w:lastRow="0" w:firstColumn="1" w:lastColumn="0" w:noHBand="0" w:noVBand="1"/>
      </w:tblPr>
      <w:tblGrid>
        <w:gridCol w:w="545"/>
        <w:gridCol w:w="4710"/>
        <w:gridCol w:w="1071"/>
        <w:gridCol w:w="1071"/>
        <w:gridCol w:w="1099"/>
        <w:gridCol w:w="1100"/>
      </w:tblGrid>
      <w:tr w:rsidR="00DF3FC4" w:rsidRPr="009722EB" w:rsidTr="00753212">
        <w:trPr>
          <w:trHeight w:val="84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722EB">
              <w:rPr>
                <w:rFonts w:ascii="PT Astra Serif" w:hAnsi="PT Astra Serif"/>
                <w:b/>
                <w:sz w:val="22"/>
                <w:szCs w:val="22"/>
              </w:rPr>
              <w:t>№ п/п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722EB">
              <w:rPr>
                <w:rFonts w:ascii="PT Astra Serif" w:hAnsi="PT Astra Serif"/>
                <w:b/>
                <w:sz w:val="22"/>
                <w:szCs w:val="22"/>
              </w:rPr>
              <w:t>Мониторинг безопасности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722EB">
              <w:rPr>
                <w:rFonts w:ascii="PT Astra Serif" w:hAnsi="PT Astra Serif"/>
                <w:b/>
                <w:sz w:val="22"/>
                <w:szCs w:val="22"/>
              </w:rPr>
              <w:t>Период проведения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722EB">
              <w:rPr>
                <w:rFonts w:ascii="PT Astra Serif" w:hAnsi="PT Astra Serif"/>
                <w:b/>
                <w:sz w:val="22"/>
                <w:szCs w:val="22"/>
              </w:rPr>
              <w:t>Тип ОО, подлежащей мониторингу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722EB">
              <w:rPr>
                <w:rFonts w:ascii="PT Astra Serif" w:hAnsi="PT Astra Serif"/>
                <w:b/>
                <w:sz w:val="22"/>
                <w:szCs w:val="22"/>
              </w:rPr>
              <w:t>Количество контролируемых лиц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722EB">
              <w:rPr>
                <w:rFonts w:ascii="PT Astra Serif" w:hAnsi="PT Astra Serif"/>
                <w:b/>
                <w:sz w:val="22"/>
                <w:szCs w:val="22"/>
              </w:rPr>
              <w:t>Количество объявленных предостережений</w:t>
            </w:r>
          </w:p>
        </w:tc>
      </w:tr>
      <w:tr w:rsidR="009722EB" w:rsidRPr="009722EB" w:rsidTr="00D361E0">
        <w:trPr>
          <w:trHeight w:val="268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2EB" w:rsidRPr="009722EB" w:rsidRDefault="009722EB" w:rsidP="00D361E0">
            <w:pPr>
              <w:spacing w:line="240" w:lineRule="auto"/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 w:rsidRPr="009722EB">
              <w:rPr>
                <w:rFonts w:ascii="PT Astra Serif" w:hAnsi="PT Astra Serif"/>
                <w:b/>
                <w:sz w:val="22"/>
                <w:szCs w:val="22"/>
              </w:rPr>
              <w:t>ФГКН</w:t>
            </w:r>
          </w:p>
        </w:tc>
      </w:tr>
      <w:tr w:rsidR="00DF3FC4" w:rsidRPr="009722EB" w:rsidTr="00D361E0">
        <w:trPr>
          <w:trHeight w:val="27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предоставлении сведений в ФИС ГИА и приема о приёме на обучение по программам среднего профессионального образования в 2022-2023 учебном году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февраль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СПО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7</w:t>
            </w:r>
            <w:r w:rsidR="008837C6">
              <w:rPr>
                <w:rFonts w:ascii="PT Astra Serif" w:hAnsi="PT Astra Serif"/>
                <w:sz w:val="22"/>
                <w:szCs w:val="22"/>
              </w:rPr>
              <w:t xml:space="preserve"> (19%)</w:t>
            </w:r>
          </w:p>
        </w:tc>
      </w:tr>
      <w:tr w:rsidR="00DF3FC4" w:rsidRPr="009722EB" w:rsidTr="00DF3FC4">
        <w:trPr>
          <w:trHeight w:val="52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информировании о приёме детей в первый класс в 2023 году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март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ОО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371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168</w:t>
            </w:r>
            <w:r w:rsidR="008837C6">
              <w:rPr>
                <w:rFonts w:ascii="PT Astra Serif" w:hAnsi="PT Astra Serif"/>
                <w:sz w:val="22"/>
                <w:szCs w:val="22"/>
              </w:rPr>
              <w:t xml:space="preserve"> (45%)</w:t>
            </w:r>
          </w:p>
        </w:tc>
      </w:tr>
      <w:tr w:rsidR="00DF3FC4" w:rsidRPr="009722EB" w:rsidTr="00DF3FC4">
        <w:trPr>
          <w:trHeight w:val="10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информировании о специальных условиях для обучения инвалидов и лиц с ограниченными возможностями здоровья в дошкольных образовательных организациях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май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ДОУ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262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14</w:t>
            </w:r>
          </w:p>
          <w:p w:rsidR="008837C6" w:rsidRPr="009722EB" w:rsidRDefault="008837C6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(5%)</w:t>
            </w:r>
          </w:p>
        </w:tc>
      </w:tr>
      <w:tr w:rsidR="00DF3FC4" w:rsidRPr="009722EB" w:rsidTr="00DF3FC4">
        <w:trPr>
          <w:trHeight w:val="80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осуществлении полномочия по разработке и утверждению основных программ профессионального обучения для работы в качестве частных охранников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июнь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ДПО, иные ОО, осущест</w:t>
            </w:r>
            <w:r w:rsidRPr="009722EB">
              <w:rPr>
                <w:rFonts w:ascii="PT Astra Serif" w:hAnsi="PT Astra Serif"/>
                <w:sz w:val="22"/>
                <w:szCs w:val="22"/>
              </w:rPr>
              <w:lastRenderedPageBreak/>
              <w:t>вляющие обучение, ИП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lastRenderedPageBreak/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DF3FC4" w:rsidRPr="009722EB" w:rsidTr="00DF3FC4">
        <w:trPr>
          <w:trHeight w:val="79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lastRenderedPageBreak/>
              <w:t>5.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предоставлении сведений о выданных общеобразовательными организациями в 2023 году документах об образовании в ФИС ФРДО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июнь-июль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ОО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DF3FC4" w:rsidRPr="009722EB" w:rsidTr="00DF3FC4">
        <w:trPr>
          <w:trHeight w:val="10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6.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предоставлении сведений о выданных профессиональными образовательными организациями в 2023 году документах об образовании и (или) о квалификации в ФИС ФРДО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июнь-июль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СПО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DF3FC4" w:rsidRPr="009722EB" w:rsidTr="00DF3FC4">
        <w:trPr>
          <w:trHeight w:val="133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7.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предоставлении детскими школами искусств сведений о выданных в 2014-2023 гг. свидетельствах об освоении дополнительных предпрофессиональных образовательных программ в области искусств в ФИС ФРДО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август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ДО (ДШИ)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7</w:t>
            </w:r>
          </w:p>
          <w:p w:rsidR="008837C6" w:rsidRPr="009722EB" w:rsidRDefault="008837C6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(14%)</w:t>
            </w:r>
          </w:p>
        </w:tc>
      </w:tr>
      <w:tr w:rsidR="00DF3FC4" w:rsidRPr="009722EB" w:rsidTr="00DF3FC4">
        <w:trPr>
          <w:trHeight w:val="108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8.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предоставлении сведений о выданных общеобразовательными организациями с 10 июля 1992 года по 31 декабря 2020 года документах об образовании в ФИС ФРДО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сентябрь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ОО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13</w:t>
            </w:r>
          </w:p>
          <w:p w:rsidR="008837C6" w:rsidRPr="009722EB" w:rsidRDefault="008837C6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(3%)</w:t>
            </w:r>
          </w:p>
        </w:tc>
      </w:tr>
      <w:tr w:rsidR="00DF3FC4" w:rsidRPr="009722EB" w:rsidTr="00DF3FC4">
        <w:trPr>
          <w:trHeight w:val="2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9.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обеспечении образовательными организациями, организациями, осуществляющими обучение, индивидуальными предпринимателями, осуществляющими образовательную деятельность, открытости и доступности информации о порядке оказания платных образовательных услуг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октябрь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ДПО, иные ОО, осуществляющие обучение, ИП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9</w:t>
            </w:r>
          </w:p>
          <w:p w:rsidR="008837C6" w:rsidRPr="009722EB" w:rsidRDefault="008837C6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(41%)</w:t>
            </w:r>
          </w:p>
        </w:tc>
      </w:tr>
      <w:tr w:rsidR="00DF3FC4" w:rsidRPr="009722EB" w:rsidTr="00DF3FC4">
        <w:trPr>
          <w:trHeight w:val="5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10.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разработке и утверждении образовательных программ общеобразовательными организациями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октябрь-ноябрь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ОО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48</w:t>
            </w:r>
            <w:r w:rsidR="008837C6">
              <w:rPr>
                <w:rFonts w:ascii="PT Astra Serif" w:hAnsi="PT Astra Serif"/>
                <w:sz w:val="22"/>
                <w:szCs w:val="22"/>
              </w:rPr>
              <w:t xml:space="preserve"> (13%)</w:t>
            </w:r>
          </w:p>
        </w:tc>
      </w:tr>
      <w:tr w:rsidR="00DF3FC4" w:rsidRPr="009722EB" w:rsidTr="00DF3FC4">
        <w:trPr>
          <w:trHeight w:val="1346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361E0">
            <w:pPr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При предоставлении сведений о выданных профессиональными образовательными организациями с 10 июля 1992 года по 31 декабря 2020 года документах об образовании и (или) о квалификации в ФИС ФРДО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ноябрь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СПО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</w:t>
            </w:r>
          </w:p>
          <w:p w:rsidR="008837C6" w:rsidRPr="009722EB" w:rsidRDefault="008837C6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(8%)</w:t>
            </w:r>
          </w:p>
        </w:tc>
      </w:tr>
      <w:tr w:rsidR="00DF3FC4" w:rsidRPr="009722EB" w:rsidTr="00DF3FC4">
        <w:trPr>
          <w:trHeight w:val="24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1949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FC4" w:rsidRPr="009722EB" w:rsidRDefault="00DF3FC4" w:rsidP="00DF3FC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328</w:t>
            </w:r>
          </w:p>
        </w:tc>
      </w:tr>
      <w:tr w:rsidR="00D361E0" w:rsidRPr="009722EB" w:rsidTr="00EF143E">
        <w:trPr>
          <w:trHeight w:val="247"/>
        </w:trPr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1E0" w:rsidRPr="00D361E0" w:rsidRDefault="00D361E0" w:rsidP="00DF3FC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361E0">
              <w:rPr>
                <w:rFonts w:ascii="PT Astra Serif" w:hAnsi="PT Astra Serif"/>
                <w:b/>
                <w:sz w:val="24"/>
                <w:szCs w:val="24"/>
              </w:rPr>
              <w:t>РГКН</w:t>
            </w:r>
          </w:p>
        </w:tc>
      </w:tr>
      <w:tr w:rsidR="009722EB" w:rsidRPr="009722EB" w:rsidTr="00DF3FC4">
        <w:trPr>
          <w:trHeight w:val="24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Актуальность сведений об адресе организации отдыха детей и их оздоровления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февраль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лагерь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533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C6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25</w:t>
            </w:r>
          </w:p>
          <w:p w:rsidR="009722EB" w:rsidRPr="009722EB" w:rsidRDefault="008837C6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(5%)</w:t>
            </w:r>
          </w:p>
        </w:tc>
      </w:tr>
      <w:tr w:rsidR="009722EB" w:rsidRPr="009722EB" w:rsidTr="00DF3FC4">
        <w:trPr>
          <w:trHeight w:val="24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2.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Актуальность сведений о лицензии на образовательную деятельность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май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лагерь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545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722EB" w:rsidRPr="009722EB" w:rsidTr="00DF3FC4">
        <w:trPr>
          <w:trHeight w:val="24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3.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Актуальность сведений о санитарно-эпидемиологическом заключении на вид деятельности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июль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лагерь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0</w:t>
            </w:r>
          </w:p>
        </w:tc>
      </w:tr>
      <w:tr w:rsidR="009722EB" w:rsidRPr="009722EB" w:rsidTr="00DF3FC4">
        <w:trPr>
          <w:trHeight w:val="24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4.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Актуальность сведений о результатах проводимых проверок в отношении организаций отдыха детей и их оздоровления за последние 2 года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сентябрь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лагерь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548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025C86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13,6</w:t>
            </w:r>
          </w:p>
        </w:tc>
      </w:tr>
      <w:tr w:rsidR="009722EB" w:rsidRPr="009722EB" w:rsidTr="00DF3FC4">
        <w:trPr>
          <w:trHeight w:val="24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right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ИТОГО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2174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2EB" w:rsidRPr="009722EB" w:rsidRDefault="009722EB" w:rsidP="009722EB">
            <w:pPr>
              <w:suppressAutoHyphens/>
              <w:spacing w:line="240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722EB">
              <w:rPr>
                <w:rFonts w:ascii="PT Astra Serif" w:hAnsi="PT Astra Serif"/>
                <w:sz w:val="22"/>
                <w:szCs w:val="22"/>
              </w:rPr>
              <w:t>100</w:t>
            </w:r>
          </w:p>
        </w:tc>
      </w:tr>
    </w:tbl>
    <w:p w:rsidR="00194E68" w:rsidRDefault="00194E68" w:rsidP="00106F0D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4316D" w:rsidRDefault="00E4316D" w:rsidP="00E431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lastRenderedPageBreak/>
        <w:t xml:space="preserve">Наблюдением за соблюдением обязательных требований при осуществлении </w:t>
      </w:r>
      <w:r>
        <w:rPr>
          <w:rFonts w:ascii="PT Astra Serif" w:hAnsi="PT Astra Serif"/>
          <w:sz w:val="28"/>
          <w:szCs w:val="28"/>
        </w:rPr>
        <w:t xml:space="preserve">федерального государственного контроля (надзора) в сфере образования было охвачено около 75% контролируемых лиц от их общего количества (с учетом обособленных структурных подразделений). </w:t>
      </w:r>
    </w:p>
    <w:p w:rsidR="00E4316D" w:rsidRDefault="00E4316D" w:rsidP="00E4316D">
      <w:pPr>
        <w:tabs>
          <w:tab w:val="left" w:pos="540"/>
          <w:tab w:val="left" w:pos="993"/>
        </w:tabs>
        <w:suppressAutoHyphens/>
        <w:spacing w:line="232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таблице</w:t>
      </w:r>
      <w:r w:rsidR="003F26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представлена</w:t>
      </w:r>
      <w:r>
        <w:rPr>
          <w:rFonts w:ascii="PT Astra Serif" w:hAnsi="PT Astra Serif" w:cs="Arial"/>
          <w:sz w:val="28"/>
          <w:szCs w:val="28"/>
        </w:rPr>
        <w:t xml:space="preserve"> информация о проведенных в 2023 году </w:t>
      </w:r>
      <w:r>
        <w:rPr>
          <w:rFonts w:ascii="PT Astra Serif" w:hAnsi="PT Astra Serif"/>
          <w:sz w:val="28"/>
          <w:szCs w:val="28"/>
        </w:rPr>
        <w:t>контрольных (надзорных) мероприятиях без взаимодействия с контролируемыми лицами и их результатах:</w:t>
      </w:r>
    </w:p>
    <w:tbl>
      <w:tblPr>
        <w:tblW w:w="9615" w:type="dxa"/>
        <w:tblInd w:w="-5" w:type="dxa"/>
        <w:tblLook w:val="04A0" w:firstRow="1" w:lastRow="0" w:firstColumn="1" w:lastColumn="0" w:noHBand="0" w:noVBand="1"/>
      </w:tblPr>
      <w:tblGrid>
        <w:gridCol w:w="2533"/>
        <w:gridCol w:w="743"/>
        <w:gridCol w:w="724"/>
        <w:gridCol w:w="743"/>
        <w:gridCol w:w="729"/>
        <w:gridCol w:w="709"/>
        <w:gridCol w:w="664"/>
        <w:gridCol w:w="726"/>
        <w:gridCol w:w="835"/>
        <w:gridCol w:w="1209"/>
      </w:tblGrid>
      <w:tr w:rsidR="008837C6" w:rsidTr="00391EB2">
        <w:trPr>
          <w:cantSplit/>
          <w:trHeight w:val="247"/>
        </w:trPr>
        <w:tc>
          <w:tcPr>
            <w:tcW w:w="2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7C6" w:rsidRDefault="008837C6" w:rsidP="005E27AE">
            <w:pPr>
              <w:spacing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58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7C6" w:rsidRDefault="008837C6" w:rsidP="00E4316D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ФГКН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7C6" w:rsidRDefault="008837C6" w:rsidP="00E4316D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РГКН</w:t>
            </w:r>
          </w:p>
        </w:tc>
      </w:tr>
      <w:tr w:rsidR="008837C6" w:rsidTr="009D4673">
        <w:trPr>
          <w:cantSplit/>
          <w:trHeight w:val="2398"/>
        </w:trPr>
        <w:tc>
          <w:tcPr>
            <w:tcW w:w="2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7C6" w:rsidRDefault="008837C6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7C6" w:rsidRDefault="008837C6" w:rsidP="00E4316D">
            <w:pPr>
              <w:spacing w:after="0"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</w:rPr>
              <w:t>Итого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7C6" w:rsidRDefault="008837C6" w:rsidP="00E4316D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дошкольные ОО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7C6" w:rsidRDefault="008837C6" w:rsidP="00E4316D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общеобразовательные организации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7C6" w:rsidRDefault="008837C6" w:rsidP="00E4316D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профессиональные ОО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7C6" w:rsidRDefault="008837C6" w:rsidP="00E4316D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организации ДО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7C6" w:rsidRDefault="008837C6" w:rsidP="00E4316D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организации ДПО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7C6" w:rsidRDefault="008837C6" w:rsidP="00E4316D">
            <w:pPr>
              <w:spacing w:after="0" w:line="276" w:lineRule="auto"/>
              <w:ind w:left="113" w:right="113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иные юридические лица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37C6" w:rsidRDefault="008837C6" w:rsidP="00E4316D">
            <w:pPr>
              <w:spacing w:after="0" w:line="27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индивидуальные предприниматели, осуществляющие ОД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7C6" w:rsidRDefault="009D4673" w:rsidP="009D4673">
            <w:pPr>
              <w:spacing w:after="0" w:line="276" w:lineRule="auto"/>
              <w:ind w:left="113" w:right="113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Лагеря</w:t>
            </w:r>
          </w:p>
        </w:tc>
      </w:tr>
      <w:tr w:rsidR="00420218" w:rsidTr="008837C6">
        <w:trPr>
          <w:trHeight w:val="755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проведенных наблюдений за соблюдением обязательных требований (мониторингов безопасности)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1949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248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1515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2174</w:t>
            </w:r>
          </w:p>
        </w:tc>
      </w:tr>
      <w:tr w:rsidR="00420218" w:rsidTr="008837C6">
        <w:trPr>
          <w:trHeight w:val="755"/>
        </w:trPr>
        <w:tc>
          <w:tcPr>
            <w:tcW w:w="2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контрольных (надзорных) мероприятий, по результатам которых выявлены нарушения обязательных требований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420</w:t>
            </w:r>
          </w:p>
        </w:tc>
      </w:tr>
      <w:tr w:rsidR="00420218" w:rsidTr="008837C6">
        <w:trPr>
          <w:trHeight w:val="50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выявленных нарушений обязательных требований, из них: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385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345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420</w:t>
            </w:r>
          </w:p>
          <w:p w:rsidR="00420218" w:rsidRPr="00420218" w:rsidRDefault="00420218" w:rsidP="00420218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 w:rsidRPr="00420218">
              <w:rPr>
                <w:rFonts w:ascii="PT Astra Serif" w:hAnsi="PT Astra Serif"/>
              </w:rPr>
              <w:t xml:space="preserve">устранены </w:t>
            </w:r>
          </w:p>
          <w:p w:rsidR="00420218" w:rsidRDefault="00420218" w:rsidP="00420218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 w:rsidRPr="00420218">
              <w:rPr>
                <w:rFonts w:ascii="PT Astra Serif" w:hAnsi="PT Astra Serif"/>
              </w:rPr>
              <w:t>в рабочем порядке 320</w:t>
            </w:r>
          </w:p>
        </w:tc>
      </w:tr>
      <w:tr w:rsidR="00420218" w:rsidTr="008837C6">
        <w:trPr>
          <w:trHeight w:val="50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Количество объявленных предостережений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291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218" w:rsidRDefault="00420218" w:rsidP="00E4316D">
            <w:pPr>
              <w:spacing w:after="0" w:line="276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100</w:t>
            </w:r>
          </w:p>
        </w:tc>
      </w:tr>
    </w:tbl>
    <w:p w:rsidR="00E4316D" w:rsidRDefault="00E4316D" w:rsidP="00E431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E4316D" w:rsidRDefault="00E4316D" w:rsidP="00E4316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Результаты наблюдений за соблюдением обязательных требований способствуют определению направлений дальнейшей профилактической работы в целях снижения рисков и предотвращения возможных негативных последствий.</w:t>
      </w:r>
    </w:p>
    <w:p w:rsidR="003B33AD" w:rsidRDefault="00E4561D" w:rsidP="003F261D">
      <w:pPr>
        <w:spacing w:after="0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Наряду с мониторингами безопасности по заданию Федеральной службой по надзору в сфере образования и науки в 2023 году Министерством </w:t>
      </w: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была организована работа по сбору данных для проведения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аккредитационного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мониторинга</w:t>
      </w:r>
      <w:r w:rsidR="007C5D55">
        <w:rPr>
          <w:rFonts w:ascii="PT Astra Serif" w:hAnsi="PT Astra Serif"/>
          <w:sz w:val="28"/>
          <w:szCs w:val="28"/>
          <w:lang w:eastAsia="ru-RU"/>
        </w:rPr>
        <w:t xml:space="preserve"> (</w:t>
      </w:r>
      <w:r w:rsidR="007C5D55">
        <w:rPr>
          <w:rFonts w:ascii="PT Astra Serif" w:hAnsi="PT Astra Serif"/>
          <w:sz w:val="28"/>
          <w:szCs w:val="28"/>
        </w:rPr>
        <w:t xml:space="preserve">приказ, утверждённый </w:t>
      </w:r>
      <w:proofErr w:type="spellStart"/>
      <w:r w:rsidR="007C5D55">
        <w:rPr>
          <w:rFonts w:ascii="PT Astra Serif" w:hAnsi="PT Astra Serif"/>
          <w:sz w:val="28"/>
          <w:szCs w:val="28"/>
        </w:rPr>
        <w:t>Рособрнадзором</w:t>
      </w:r>
      <w:proofErr w:type="spellEnd"/>
      <w:r w:rsidR="007C5D5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7C5D55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="007C5D55">
        <w:rPr>
          <w:rFonts w:ascii="PT Astra Serif" w:hAnsi="PT Astra Serif"/>
          <w:sz w:val="28"/>
          <w:szCs w:val="28"/>
        </w:rPr>
        <w:t xml:space="preserve"> России и </w:t>
      </w:r>
      <w:proofErr w:type="spellStart"/>
      <w:r w:rsidR="007C5D55">
        <w:rPr>
          <w:rFonts w:ascii="PT Astra Serif" w:hAnsi="PT Astra Serif"/>
          <w:sz w:val="28"/>
          <w:szCs w:val="28"/>
        </w:rPr>
        <w:t>Минобрнауки</w:t>
      </w:r>
      <w:proofErr w:type="spellEnd"/>
      <w:r w:rsidR="007C5D55">
        <w:rPr>
          <w:rFonts w:ascii="PT Astra Serif" w:hAnsi="PT Astra Serif"/>
          <w:sz w:val="28"/>
          <w:szCs w:val="28"/>
        </w:rPr>
        <w:t xml:space="preserve"> России от 24.04.2023 № 660/306/448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</w:t>
      </w:r>
      <w:proofErr w:type="spellStart"/>
      <w:r w:rsidR="007C5D55">
        <w:rPr>
          <w:rFonts w:ascii="PT Astra Serif" w:hAnsi="PT Astra Serif"/>
          <w:sz w:val="28"/>
          <w:szCs w:val="28"/>
        </w:rPr>
        <w:t>аккредитационного</w:t>
      </w:r>
      <w:proofErr w:type="spellEnd"/>
      <w:r w:rsidR="007C5D55">
        <w:rPr>
          <w:rFonts w:ascii="PT Astra Serif" w:hAnsi="PT Astra Serif"/>
          <w:sz w:val="28"/>
          <w:szCs w:val="28"/>
        </w:rPr>
        <w:t xml:space="preserve"> мониторинга системы образования»</w:t>
      </w:r>
      <w:r w:rsidR="007C5D55">
        <w:rPr>
          <w:rFonts w:ascii="PT Astra Serif" w:hAnsi="PT Astra Serif"/>
          <w:sz w:val="28"/>
          <w:szCs w:val="28"/>
          <w:lang w:eastAsia="ru-RU"/>
        </w:rPr>
        <w:t>)</w:t>
      </w:r>
      <w:r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3B33AD" w:rsidRDefault="00E4561D" w:rsidP="00E45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Мероприятие такого масштаба проводится впервые в отношении образовательных организаций, реализующих акк</w:t>
      </w:r>
      <w:r w:rsidR="00651595">
        <w:rPr>
          <w:rFonts w:ascii="PT Astra Serif" w:hAnsi="PT Astra Serif"/>
          <w:sz w:val="28"/>
          <w:szCs w:val="28"/>
          <w:lang w:eastAsia="ru-RU"/>
        </w:rPr>
        <w:t>редитованные общеобразовательные</w:t>
      </w:r>
      <w:r>
        <w:rPr>
          <w:rFonts w:ascii="PT Astra Serif" w:hAnsi="PT Astra Serif"/>
          <w:sz w:val="28"/>
          <w:szCs w:val="28"/>
          <w:lang w:eastAsia="ru-RU"/>
        </w:rPr>
        <w:t xml:space="preserve"> программы и аккредитованные программы среднего профессионального образования. В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аккредитационном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мониторинге </w:t>
      </w:r>
      <w:r w:rsidR="00611842">
        <w:rPr>
          <w:rFonts w:ascii="PT Astra Serif" w:hAnsi="PT Astra Serif"/>
          <w:sz w:val="28"/>
          <w:szCs w:val="28"/>
          <w:lang w:eastAsia="ru-RU"/>
        </w:rPr>
        <w:t xml:space="preserve">в ноябре 2023 года </w:t>
      </w:r>
      <w:r>
        <w:rPr>
          <w:rFonts w:ascii="PT Astra Serif" w:hAnsi="PT Astra Serif"/>
          <w:sz w:val="28"/>
          <w:szCs w:val="28"/>
          <w:lang w:eastAsia="ru-RU"/>
        </w:rPr>
        <w:t>приняли участие 374</w:t>
      </w:r>
      <w:r w:rsidR="00651595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общеобразовательные организации и 37 организаций среднего профессионального образования Ульяновской области. В информационную систему государственной аккредитации внесены сведения о 984 образовательных программах начального общего, основного общего и среднего общего образования и 139 программах среднего профессионального образования. </w:t>
      </w:r>
    </w:p>
    <w:p w:rsidR="00611842" w:rsidRDefault="00611842" w:rsidP="006118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критериям отбора не вошли в </w:t>
      </w:r>
      <w:proofErr w:type="spellStart"/>
      <w:r>
        <w:rPr>
          <w:rFonts w:ascii="PT Astra Serif" w:hAnsi="PT Astra Serif"/>
          <w:sz w:val="28"/>
          <w:szCs w:val="28"/>
        </w:rPr>
        <w:t>аккредитационный</w:t>
      </w:r>
      <w:proofErr w:type="spellEnd"/>
      <w:r>
        <w:rPr>
          <w:rFonts w:ascii="PT Astra Serif" w:hAnsi="PT Astra Serif"/>
          <w:sz w:val="28"/>
          <w:szCs w:val="28"/>
        </w:rPr>
        <w:t xml:space="preserve"> мониторинг:</w:t>
      </w:r>
    </w:p>
    <w:p w:rsidR="00611842" w:rsidRDefault="00611842" w:rsidP="006118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организации, находящиеся в стадии реорганизации; </w:t>
      </w:r>
    </w:p>
    <w:p w:rsidR="00611842" w:rsidRDefault="00611842" w:rsidP="006118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организации, реализующие исключительно адаптированные общеобразовательные программы;</w:t>
      </w:r>
    </w:p>
    <w:p w:rsidR="00611842" w:rsidRDefault="00611842" w:rsidP="0061184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организации, у которых отсутствовал выпуск обучающихся в 2021-2022 учебном году или отсутствовал контингент обучающихся на 2023-2024 учебный год.</w:t>
      </w:r>
    </w:p>
    <w:p w:rsidR="003B33AD" w:rsidRDefault="003B33AD" w:rsidP="003B33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Ключевым моментом проведения </w:t>
      </w:r>
      <w:proofErr w:type="spellStart"/>
      <w:r>
        <w:rPr>
          <w:rFonts w:ascii="PT Astra Serif" w:hAnsi="PT Astra Serif"/>
          <w:sz w:val="28"/>
          <w:szCs w:val="28"/>
        </w:rPr>
        <w:t>аккредитационного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мониторинга </w:t>
      </w:r>
      <w:r w:rsidR="00753212">
        <w:rPr>
          <w:rFonts w:ascii="PT Astra Serif" w:hAnsi="PT Astra Serif"/>
          <w:sz w:val="28"/>
          <w:szCs w:val="28"/>
        </w:rPr>
        <w:t xml:space="preserve">стало многоуровневое взаимодействие регионального координатора с организаторами </w:t>
      </w:r>
      <w:proofErr w:type="spellStart"/>
      <w:r w:rsidR="00753212">
        <w:rPr>
          <w:rFonts w:ascii="PT Astra Serif" w:hAnsi="PT Astra Serif"/>
          <w:sz w:val="28"/>
          <w:szCs w:val="28"/>
        </w:rPr>
        <w:t>аккредитационного</w:t>
      </w:r>
      <w:proofErr w:type="spellEnd"/>
      <w:r w:rsidR="00753212">
        <w:rPr>
          <w:rFonts w:ascii="PT Astra Serif" w:hAnsi="PT Astra Serif"/>
          <w:sz w:val="28"/>
          <w:szCs w:val="28"/>
        </w:rPr>
        <w:t xml:space="preserve"> мониторинга на федеральном уровне, а также с муниципальными координаторами и ответственными за заполнение системы в образовательных организациях. В целях организации </w:t>
      </w:r>
      <w:r>
        <w:rPr>
          <w:rFonts w:ascii="PT Astra Serif" w:hAnsi="PT Astra Serif"/>
          <w:sz w:val="28"/>
          <w:szCs w:val="28"/>
        </w:rPr>
        <w:t xml:space="preserve">работы </w:t>
      </w:r>
      <w:r w:rsidR="00753212">
        <w:rPr>
          <w:rFonts w:ascii="PT Astra Serif" w:hAnsi="PT Astra Serif"/>
          <w:sz w:val="28"/>
          <w:szCs w:val="28"/>
        </w:rPr>
        <w:t>по подготовке данных для внесения в систему</w:t>
      </w:r>
      <w:r w:rsidR="002746AF">
        <w:rPr>
          <w:rFonts w:ascii="PT Astra Serif" w:hAnsi="PT Astra Serif"/>
          <w:sz w:val="28"/>
          <w:szCs w:val="28"/>
        </w:rPr>
        <w:t xml:space="preserve"> было проведено </w:t>
      </w:r>
      <w:r w:rsidR="002E6F89">
        <w:rPr>
          <w:rFonts w:ascii="PT Astra Serif" w:hAnsi="PT Astra Serif"/>
          <w:sz w:val="28"/>
          <w:szCs w:val="28"/>
        </w:rPr>
        <w:t xml:space="preserve">несколько </w:t>
      </w:r>
      <w:proofErr w:type="spellStart"/>
      <w:r w:rsidR="002E6F89">
        <w:rPr>
          <w:rFonts w:ascii="PT Astra Serif" w:hAnsi="PT Astra Serif"/>
          <w:sz w:val="28"/>
          <w:szCs w:val="28"/>
        </w:rPr>
        <w:t>вебинаров</w:t>
      </w:r>
      <w:proofErr w:type="spellEnd"/>
      <w:r w:rsidR="00611842">
        <w:rPr>
          <w:rFonts w:ascii="PT Astra Serif" w:hAnsi="PT Astra Serif"/>
          <w:sz w:val="28"/>
          <w:szCs w:val="28"/>
        </w:rPr>
        <w:t>, созданы телеграмм-чаты</w:t>
      </w:r>
      <w:r w:rsidR="003F261D">
        <w:rPr>
          <w:rFonts w:ascii="PT Astra Serif" w:hAnsi="PT Astra Serif"/>
          <w:sz w:val="28"/>
          <w:szCs w:val="28"/>
        </w:rPr>
        <w:t xml:space="preserve"> </w:t>
      </w:r>
      <w:r w:rsidR="00611842">
        <w:rPr>
          <w:rFonts w:ascii="PT Astra Serif" w:hAnsi="PT Astra Serif"/>
          <w:sz w:val="28"/>
          <w:szCs w:val="28"/>
        </w:rPr>
        <w:t>для оперативного решения проблемных вопросов</w:t>
      </w:r>
      <w:r>
        <w:rPr>
          <w:rFonts w:ascii="PT Astra Serif" w:hAnsi="PT Astra Serif"/>
          <w:sz w:val="28"/>
          <w:szCs w:val="28"/>
        </w:rPr>
        <w:t xml:space="preserve">. Слаженная </w:t>
      </w:r>
      <w:r w:rsidR="00611842">
        <w:rPr>
          <w:rFonts w:ascii="PT Astra Serif" w:hAnsi="PT Astra Serif"/>
          <w:sz w:val="28"/>
          <w:szCs w:val="28"/>
        </w:rPr>
        <w:t xml:space="preserve">совместная </w:t>
      </w:r>
      <w:r>
        <w:rPr>
          <w:rFonts w:ascii="PT Astra Serif" w:hAnsi="PT Astra Serif"/>
          <w:sz w:val="28"/>
          <w:szCs w:val="28"/>
        </w:rPr>
        <w:t xml:space="preserve">работа </w:t>
      </w:r>
      <w:r w:rsidR="00611842">
        <w:rPr>
          <w:rFonts w:ascii="PT Astra Serif" w:hAnsi="PT Astra Serif"/>
          <w:sz w:val="28"/>
          <w:szCs w:val="28"/>
        </w:rPr>
        <w:t>в ходе</w:t>
      </w:r>
      <w:r w:rsidR="003F261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611842">
        <w:rPr>
          <w:rFonts w:ascii="PT Astra Serif" w:hAnsi="PT Astra Serif"/>
          <w:sz w:val="28"/>
          <w:szCs w:val="28"/>
        </w:rPr>
        <w:t>аккредитационного</w:t>
      </w:r>
      <w:proofErr w:type="spellEnd"/>
      <w:r w:rsidR="00611842">
        <w:rPr>
          <w:rFonts w:ascii="PT Astra Serif" w:hAnsi="PT Astra Serif"/>
          <w:sz w:val="28"/>
          <w:szCs w:val="28"/>
        </w:rPr>
        <w:t xml:space="preserve"> мониторинга</w:t>
      </w:r>
      <w:r>
        <w:rPr>
          <w:rFonts w:ascii="PT Astra Serif" w:hAnsi="PT Astra Serif"/>
          <w:sz w:val="28"/>
          <w:szCs w:val="28"/>
        </w:rPr>
        <w:t xml:space="preserve"> позволила организациям Ульяновской области</w:t>
      </w:r>
      <w:r w:rsidR="003F26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завершить внесение информации в систему</w:t>
      </w:r>
      <w:r w:rsidRPr="003B33AD">
        <w:rPr>
          <w:rFonts w:ascii="PT Astra Serif" w:hAnsi="PT Astra Serif"/>
          <w:sz w:val="28"/>
          <w:szCs w:val="28"/>
        </w:rPr>
        <w:t xml:space="preserve"> досрочно</w:t>
      </w:r>
      <w:r>
        <w:rPr>
          <w:rFonts w:ascii="PT Astra Serif" w:hAnsi="PT Astra Serif"/>
          <w:sz w:val="28"/>
          <w:szCs w:val="28"/>
        </w:rPr>
        <w:t>.</w:t>
      </w:r>
    </w:p>
    <w:p w:rsidR="003B33AD" w:rsidRDefault="00611842" w:rsidP="003B33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</w:t>
      </w:r>
      <w:r w:rsidR="003B33AD">
        <w:rPr>
          <w:rFonts w:ascii="PT Astra Serif" w:hAnsi="PT Astra Serif"/>
          <w:sz w:val="28"/>
          <w:szCs w:val="28"/>
        </w:rPr>
        <w:t xml:space="preserve">редварительные результаты </w:t>
      </w:r>
      <w:proofErr w:type="spellStart"/>
      <w:r w:rsidR="003B33AD">
        <w:rPr>
          <w:rFonts w:ascii="PT Astra Serif" w:hAnsi="PT Astra Serif"/>
          <w:sz w:val="28"/>
          <w:szCs w:val="28"/>
        </w:rPr>
        <w:t>аккредитационного</w:t>
      </w:r>
      <w:proofErr w:type="spellEnd"/>
      <w:r w:rsidR="003B33AD">
        <w:rPr>
          <w:rFonts w:ascii="PT Astra Serif" w:hAnsi="PT Astra Serif"/>
          <w:sz w:val="28"/>
          <w:szCs w:val="28"/>
        </w:rPr>
        <w:t xml:space="preserve"> мониторинга так</w:t>
      </w:r>
      <w:r>
        <w:rPr>
          <w:rFonts w:ascii="PT Astra Serif" w:hAnsi="PT Astra Serif"/>
          <w:sz w:val="28"/>
          <w:szCs w:val="28"/>
        </w:rPr>
        <w:t>овы</w:t>
      </w:r>
      <w:r w:rsidR="003B33AD">
        <w:rPr>
          <w:rFonts w:ascii="PT Astra Serif" w:hAnsi="PT Astra Serif"/>
          <w:sz w:val="28"/>
          <w:szCs w:val="28"/>
        </w:rPr>
        <w:t>:</w:t>
      </w:r>
    </w:p>
    <w:p w:rsidR="00611842" w:rsidRPr="00611842" w:rsidRDefault="00611842" w:rsidP="00611842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B20CE">
        <w:rPr>
          <w:rFonts w:ascii="PT Astra Serif" w:hAnsi="PT Astra Serif"/>
          <w:sz w:val="28"/>
          <w:szCs w:val="28"/>
        </w:rPr>
        <w:t>все программы</w:t>
      </w:r>
      <w:r w:rsidRPr="00611842">
        <w:rPr>
          <w:rFonts w:ascii="PT Astra Serif" w:hAnsi="PT Astra Serif"/>
          <w:sz w:val="28"/>
          <w:szCs w:val="28"/>
        </w:rPr>
        <w:t xml:space="preserve"> среднего профессионального образования, попавшие </w:t>
      </w:r>
      <w:r w:rsidRPr="00611842">
        <w:rPr>
          <w:rFonts w:ascii="PT Astra Serif" w:hAnsi="PT Astra Serif"/>
          <w:sz w:val="28"/>
          <w:szCs w:val="28"/>
        </w:rPr>
        <w:br/>
        <w:t xml:space="preserve">по критериям отбора в </w:t>
      </w:r>
      <w:proofErr w:type="spellStart"/>
      <w:r w:rsidRPr="00611842">
        <w:rPr>
          <w:rFonts w:ascii="PT Astra Serif" w:hAnsi="PT Astra Serif"/>
          <w:sz w:val="28"/>
          <w:szCs w:val="28"/>
        </w:rPr>
        <w:t>аккредитационный</w:t>
      </w:r>
      <w:proofErr w:type="spellEnd"/>
      <w:r w:rsidRPr="00611842">
        <w:rPr>
          <w:rFonts w:ascii="PT Astra Serif" w:hAnsi="PT Astra Serif"/>
          <w:sz w:val="28"/>
          <w:szCs w:val="28"/>
        </w:rPr>
        <w:t xml:space="preserve"> мониторинг, преодолели суммарное минимальное пороговое значение итогового балла</w:t>
      </w:r>
      <w:r>
        <w:rPr>
          <w:rFonts w:ascii="PT Astra Serif" w:hAnsi="PT Astra Serif"/>
          <w:sz w:val="28"/>
          <w:szCs w:val="28"/>
        </w:rPr>
        <w:t>;</w:t>
      </w:r>
    </w:p>
    <w:p w:rsidR="003B33AD" w:rsidRPr="009722EB" w:rsidRDefault="003B33AD" w:rsidP="004264EC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611842">
        <w:rPr>
          <w:rFonts w:ascii="PT Astra Serif" w:hAnsi="PT Astra Serif"/>
          <w:sz w:val="28"/>
          <w:szCs w:val="28"/>
        </w:rPr>
        <w:t xml:space="preserve">по всем общеобразовательным </w:t>
      </w:r>
      <w:r w:rsidRPr="009722EB">
        <w:rPr>
          <w:rFonts w:ascii="PT Astra Serif" w:hAnsi="PT Astra Serif"/>
          <w:sz w:val="28"/>
          <w:szCs w:val="28"/>
        </w:rPr>
        <w:t>программам достигли суммарного минимального поро</w:t>
      </w:r>
      <w:r w:rsidR="00611842" w:rsidRPr="009722EB">
        <w:rPr>
          <w:rFonts w:ascii="PT Astra Serif" w:hAnsi="PT Astra Serif"/>
          <w:sz w:val="28"/>
          <w:szCs w:val="28"/>
        </w:rPr>
        <w:t xml:space="preserve">гового значения итогового балла </w:t>
      </w:r>
      <w:r w:rsidR="009B20CE" w:rsidRPr="009722EB">
        <w:rPr>
          <w:rFonts w:ascii="PT Astra Serif" w:hAnsi="PT Astra Serif"/>
          <w:sz w:val="28"/>
          <w:szCs w:val="28"/>
        </w:rPr>
        <w:t>большинство</w:t>
      </w:r>
      <w:r w:rsidR="00611842" w:rsidRPr="009722EB">
        <w:rPr>
          <w:rFonts w:ascii="PT Astra Serif" w:hAnsi="PT Astra Serif"/>
          <w:sz w:val="28"/>
          <w:szCs w:val="28"/>
        </w:rPr>
        <w:t xml:space="preserve"> школ муниципальных образований Ульяновской области, за исключением</w:t>
      </w:r>
      <w:r w:rsidR="001752D4" w:rsidRPr="009722EB">
        <w:rPr>
          <w:rFonts w:ascii="PT Astra Serif" w:hAnsi="PT Astra Serif"/>
          <w:sz w:val="28"/>
          <w:szCs w:val="28"/>
        </w:rPr>
        <w:t xml:space="preserve"> ряда образовательных организаций</w:t>
      </w:r>
      <w:r w:rsidR="003F261D">
        <w:rPr>
          <w:rFonts w:ascii="PT Astra Serif" w:hAnsi="PT Astra Serif"/>
          <w:sz w:val="28"/>
          <w:szCs w:val="28"/>
        </w:rPr>
        <w:t xml:space="preserve"> </w:t>
      </w:r>
      <w:r w:rsidR="001752D4" w:rsidRPr="009722EB">
        <w:rPr>
          <w:rFonts w:ascii="PT Astra Serif" w:hAnsi="PT Astra Serif"/>
          <w:sz w:val="28"/>
          <w:szCs w:val="28"/>
        </w:rPr>
        <w:t>(по отдельным аккредитованным программам)</w:t>
      </w:r>
      <w:r w:rsidR="00651595">
        <w:rPr>
          <w:rFonts w:ascii="PT Astra Serif" w:hAnsi="PT Astra Serif"/>
          <w:sz w:val="28"/>
          <w:szCs w:val="28"/>
        </w:rPr>
        <w:t xml:space="preserve"> </w:t>
      </w:r>
      <w:r w:rsidR="001752D4" w:rsidRPr="009722EB">
        <w:rPr>
          <w:rFonts w:ascii="PT Astra Serif" w:hAnsi="PT Astra Serif"/>
          <w:sz w:val="28"/>
          <w:szCs w:val="28"/>
        </w:rPr>
        <w:t xml:space="preserve">города Ульяновска, города </w:t>
      </w:r>
      <w:proofErr w:type="spellStart"/>
      <w:r w:rsidR="001752D4" w:rsidRPr="009722EB">
        <w:rPr>
          <w:rFonts w:ascii="PT Astra Serif" w:hAnsi="PT Astra Serif"/>
          <w:sz w:val="28"/>
          <w:szCs w:val="28"/>
        </w:rPr>
        <w:t>Новоульяновска</w:t>
      </w:r>
      <w:proofErr w:type="spellEnd"/>
      <w:r w:rsidR="001752D4" w:rsidRPr="009722EB">
        <w:rPr>
          <w:rFonts w:ascii="PT Astra Serif" w:hAnsi="PT Astra Serif"/>
          <w:sz w:val="28"/>
          <w:szCs w:val="28"/>
        </w:rPr>
        <w:t xml:space="preserve">, Новоспасского, </w:t>
      </w:r>
      <w:proofErr w:type="spellStart"/>
      <w:r w:rsidR="001752D4" w:rsidRPr="009722EB">
        <w:rPr>
          <w:rFonts w:ascii="PT Astra Serif" w:hAnsi="PT Astra Serif"/>
          <w:sz w:val="28"/>
          <w:szCs w:val="28"/>
        </w:rPr>
        <w:t>Старомайнского</w:t>
      </w:r>
      <w:proofErr w:type="spellEnd"/>
      <w:r w:rsidR="001752D4" w:rsidRPr="009722EB">
        <w:rPr>
          <w:rFonts w:ascii="PT Astra Serif" w:hAnsi="PT Astra Serif"/>
          <w:sz w:val="28"/>
          <w:szCs w:val="28"/>
        </w:rPr>
        <w:t xml:space="preserve"> и </w:t>
      </w:r>
      <w:proofErr w:type="spellStart"/>
      <w:r w:rsidR="001752D4" w:rsidRPr="009722EB">
        <w:rPr>
          <w:rFonts w:ascii="PT Astra Serif" w:hAnsi="PT Astra Serif"/>
          <w:sz w:val="28"/>
          <w:szCs w:val="28"/>
        </w:rPr>
        <w:t>Тереньгульского</w:t>
      </w:r>
      <w:proofErr w:type="spellEnd"/>
      <w:r w:rsidR="001752D4" w:rsidRPr="009722EB">
        <w:rPr>
          <w:rFonts w:ascii="PT Astra Serif" w:hAnsi="PT Astra Serif"/>
          <w:sz w:val="28"/>
          <w:szCs w:val="28"/>
        </w:rPr>
        <w:t xml:space="preserve"> районов.</w:t>
      </w:r>
    </w:p>
    <w:p w:rsidR="001752D4" w:rsidRPr="009722EB" w:rsidRDefault="001752D4" w:rsidP="00175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lastRenderedPageBreak/>
        <w:t xml:space="preserve">В </w:t>
      </w:r>
      <w:r w:rsidRPr="009722EB">
        <w:rPr>
          <w:rFonts w:ascii="PT Astra Serif" w:hAnsi="PT Astra Serif"/>
          <w:sz w:val="28"/>
          <w:szCs w:val="28"/>
          <w:u w:val="single"/>
        </w:rPr>
        <w:t>общеобразовательных организациях</w:t>
      </w:r>
      <w:r w:rsidRPr="009722EB">
        <w:rPr>
          <w:rFonts w:ascii="PT Astra Serif" w:hAnsi="PT Astra Serif"/>
          <w:sz w:val="28"/>
          <w:szCs w:val="28"/>
        </w:rPr>
        <w:t xml:space="preserve"> наиболее часто </w:t>
      </w:r>
      <w:r w:rsidRPr="009722EB">
        <w:rPr>
          <w:rFonts w:ascii="PT Astra Serif" w:hAnsi="PT Astra Serif"/>
          <w:sz w:val="28"/>
          <w:szCs w:val="28"/>
          <w:u w:val="single"/>
        </w:rPr>
        <w:t>снижение баллов</w:t>
      </w:r>
      <w:r w:rsidRPr="009722EB">
        <w:rPr>
          <w:rFonts w:ascii="PT Astra Serif" w:hAnsi="PT Astra Serif"/>
          <w:sz w:val="28"/>
          <w:szCs w:val="28"/>
        </w:rPr>
        <w:t xml:space="preserve"> отмечалось по таким </w:t>
      </w:r>
      <w:proofErr w:type="spellStart"/>
      <w:r w:rsidRPr="009722EB">
        <w:rPr>
          <w:rFonts w:ascii="PT Astra Serif" w:hAnsi="PT Astra Serif"/>
          <w:sz w:val="28"/>
          <w:szCs w:val="28"/>
        </w:rPr>
        <w:t>аккредитационным</w:t>
      </w:r>
      <w:proofErr w:type="spellEnd"/>
      <w:r w:rsidRPr="009722EB">
        <w:rPr>
          <w:rFonts w:ascii="PT Astra Serif" w:hAnsi="PT Astra Serif"/>
          <w:sz w:val="28"/>
          <w:szCs w:val="28"/>
        </w:rPr>
        <w:t xml:space="preserve"> показателям, как:</w:t>
      </w:r>
    </w:p>
    <w:p w:rsidR="001752D4" w:rsidRPr="009722EB" w:rsidRDefault="001752D4" w:rsidP="001752D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>участие обучающихся в оценочных мероприятиях, проведенных в рамках мониторинга системы образования (АП-2);</w:t>
      </w:r>
    </w:p>
    <w:p w:rsidR="001752D4" w:rsidRPr="009722EB" w:rsidRDefault="001752D4" w:rsidP="001752D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 xml:space="preserve">доля педагогических работников, имеющих первую или высшую квалификационные категории, ученое звание и (или) учёную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(АП-3); </w:t>
      </w:r>
    </w:p>
    <w:p w:rsidR="001752D4" w:rsidRPr="009722EB" w:rsidRDefault="001752D4" w:rsidP="001752D4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(АП-4).</w:t>
      </w:r>
    </w:p>
    <w:p w:rsidR="001752D4" w:rsidRPr="009722EB" w:rsidRDefault="001752D4" w:rsidP="00175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 xml:space="preserve">В </w:t>
      </w:r>
      <w:r w:rsidRPr="009722EB">
        <w:rPr>
          <w:rFonts w:ascii="PT Astra Serif" w:hAnsi="PT Astra Serif"/>
          <w:sz w:val="28"/>
          <w:szCs w:val="28"/>
          <w:u w:val="single"/>
        </w:rPr>
        <w:t>организациях среднего профессионального образования</w:t>
      </w:r>
      <w:r w:rsidRPr="009722EB">
        <w:rPr>
          <w:rFonts w:ascii="PT Astra Serif" w:hAnsi="PT Astra Serif"/>
          <w:sz w:val="28"/>
          <w:szCs w:val="28"/>
        </w:rPr>
        <w:t xml:space="preserve"> наиболее часто </w:t>
      </w:r>
      <w:r w:rsidRPr="009722EB">
        <w:rPr>
          <w:rFonts w:ascii="PT Astra Serif" w:hAnsi="PT Astra Serif"/>
          <w:sz w:val="28"/>
          <w:szCs w:val="28"/>
          <w:u w:val="single"/>
        </w:rPr>
        <w:t>снижение баллов</w:t>
      </w:r>
      <w:r w:rsidRPr="009722EB">
        <w:rPr>
          <w:rFonts w:ascii="PT Astra Serif" w:hAnsi="PT Astra Serif"/>
          <w:sz w:val="28"/>
          <w:szCs w:val="28"/>
        </w:rPr>
        <w:t xml:space="preserve"> отмечалось по следующим </w:t>
      </w:r>
      <w:proofErr w:type="spellStart"/>
      <w:r w:rsidRPr="009722EB">
        <w:rPr>
          <w:rFonts w:ascii="PT Astra Serif" w:hAnsi="PT Astra Serif"/>
          <w:sz w:val="28"/>
          <w:szCs w:val="28"/>
        </w:rPr>
        <w:t>аккредитационным</w:t>
      </w:r>
      <w:proofErr w:type="spellEnd"/>
      <w:r w:rsidRPr="009722EB">
        <w:rPr>
          <w:rFonts w:ascii="PT Astra Serif" w:hAnsi="PT Astra Serif"/>
          <w:sz w:val="28"/>
          <w:szCs w:val="28"/>
        </w:rPr>
        <w:t xml:space="preserve"> показателям:</w:t>
      </w:r>
    </w:p>
    <w:p w:rsidR="001752D4" w:rsidRPr="009722EB" w:rsidRDefault="001752D4" w:rsidP="001752D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>наличие педагогических работников,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 (АП-5);</w:t>
      </w:r>
    </w:p>
    <w:p w:rsidR="001752D4" w:rsidRPr="009722EB" w:rsidRDefault="001752D4" w:rsidP="001752D4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>наличие внутренней системы оценки качества образования (АП-7).</w:t>
      </w:r>
    </w:p>
    <w:p w:rsidR="001752D4" w:rsidRPr="009722EB" w:rsidRDefault="001752D4" w:rsidP="001752D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>Необходимо отметить, что некоторыми организациями во время внесения информации в систему</w:t>
      </w:r>
      <w:r w:rsidR="007C5D55" w:rsidRPr="009722EB">
        <w:rPr>
          <w:rFonts w:ascii="PT Astra Serif" w:hAnsi="PT Astra Serif"/>
          <w:sz w:val="28"/>
          <w:szCs w:val="28"/>
        </w:rPr>
        <w:t xml:space="preserve"> допущены </w:t>
      </w:r>
      <w:r w:rsidR="007C5D55" w:rsidRPr="009722EB">
        <w:rPr>
          <w:rFonts w:ascii="PT Astra Serif" w:hAnsi="PT Astra Serif"/>
          <w:b/>
          <w:sz w:val="28"/>
          <w:szCs w:val="28"/>
        </w:rPr>
        <w:t>технические</w:t>
      </w:r>
      <w:r w:rsidR="007C5D55" w:rsidRPr="009722EB">
        <w:rPr>
          <w:rFonts w:ascii="PT Astra Serif" w:hAnsi="PT Astra Serif"/>
          <w:sz w:val="28"/>
          <w:szCs w:val="28"/>
        </w:rPr>
        <w:t xml:space="preserve"> ошибки</w:t>
      </w:r>
      <w:r w:rsidRPr="009722EB">
        <w:rPr>
          <w:rFonts w:ascii="PT Astra Serif" w:hAnsi="PT Astra Serif"/>
          <w:sz w:val="28"/>
          <w:szCs w:val="28"/>
        </w:rPr>
        <w:t xml:space="preserve">, что не позволило им достичь суммарного минимального порогового значения итогового балла по отдельным программам. Информация о технических ошибках, допущенных организациями Ульяновской области во время внесения информации в систему при прохождении </w:t>
      </w:r>
      <w:proofErr w:type="spellStart"/>
      <w:r w:rsidRPr="009722EB">
        <w:rPr>
          <w:rFonts w:ascii="PT Astra Serif" w:hAnsi="PT Astra Serif"/>
          <w:sz w:val="28"/>
          <w:szCs w:val="28"/>
        </w:rPr>
        <w:t>аккредитационного</w:t>
      </w:r>
      <w:proofErr w:type="spellEnd"/>
      <w:r w:rsidRPr="009722EB">
        <w:rPr>
          <w:rFonts w:ascii="PT Astra Serif" w:hAnsi="PT Astra Serif"/>
          <w:sz w:val="28"/>
          <w:szCs w:val="28"/>
        </w:rPr>
        <w:t xml:space="preserve"> мониторинга, была направлена заместителю руководителя </w:t>
      </w:r>
      <w:proofErr w:type="spellStart"/>
      <w:r w:rsidRPr="009722EB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9722EB">
        <w:rPr>
          <w:rFonts w:ascii="PT Astra Serif" w:hAnsi="PT Astra Serif"/>
          <w:sz w:val="28"/>
          <w:szCs w:val="28"/>
        </w:rPr>
        <w:t xml:space="preserve">. Надеемся, что данная информация будет принята во внимание </w:t>
      </w:r>
      <w:r w:rsidR="007C5D55" w:rsidRPr="009722EB">
        <w:rPr>
          <w:rFonts w:ascii="PT Astra Serif" w:hAnsi="PT Astra Serif"/>
          <w:sz w:val="28"/>
          <w:szCs w:val="28"/>
        </w:rPr>
        <w:t>при</w:t>
      </w:r>
      <w:r w:rsidRPr="009722EB">
        <w:rPr>
          <w:rFonts w:ascii="PT Astra Serif" w:hAnsi="PT Astra Serif"/>
          <w:sz w:val="28"/>
          <w:szCs w:val="28"/>
        </w:rPr>
        <w:t xml:space="preserve"> подведени</w:t>
      </w:r>
      <w:r w:rsidR="007C5D55" w:rsidRPr="009722EB">
        <w:rPr>
          <w:rFonts w:ascii="PT Astra Serif" w:hAnsi="PT Astra Serif"/>
          <w:sz w:val="28"/>
          <w:szCs w:val="28"/>
        </w:rPr>
        <w:t>и</w:t>
      </w:r>
      <w:r w:rsidRPr="009722EB">
        <w:rPr>
          <w:rFonts w:ascii="PT Astra Serif" w:hAnsi="PT Astra Serif"/>
          <w:sz w:val="28"/>
          <w:szCs w:val="28"/>
        </w:rPr>
        <w:t xml:space="preserve"> итогов </w:t>
      </w:r>
      <w:proofErr w:type="spellStart"/>
      <w:r w:rsidRPr="009722EB">
        <w:rPr>
          <w:rFonts w:ascii="PT Astra Serif" w:hAnsi="PT Astra Serif"/>
          <w:sz w:val="28"/>
          <w:szCs w:val="28"/>
        </w:rPr>
        <w:t>аккредитационного</w:t>
      </w:r>
      <w:proofErr w:type="spellEnd"/>
      <w:r w:rsidRPr="009722EB">
        <w:rPr>
          <w:rFonts w:ascii="PT Astra Serif" w:hAnsi="PT Astra Serif"/>
          <w:sz w:val="28"/>
          <w:szCs w:val="28"/>
        </w:rPr>
        <w:t xml:space="preserve"> мониторинга.</w:t>
      </w:r>
    </w:p>
    <w:p w:rsidR="007C5D55" w:rsidRPr="009722EB" w:rsidRDefault="00E4561D" w:rsidP="007C5D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22EB">
        <w:rPr>
          <w:rFonts w:ascii="PT Astra Serif" w:hAnsi="PT Astra Serif"/>
          <w:sz w:val="28"/>
          <w:szCs w:val="28"/>
          <w:lang w:eastAsia="ru-RU"/>
        </w:rPr>
        <w:t xml:space="preserve">В настоящее время </w:t>
      </w:r>
      <w:proofErr w:type="spellStart"/>
      <w:r w:rsidRPr="009722EB">
        <w:rPr>
          <w:rFonts w:ascii="PT Astra Serif" w:hAnsi="PT Astra Serif"/>
          <w:sz w:val="28"/>
          <w:szCs w:val="28"/>
          <w:lang w:eastAsia="ru-RU"/>
        </w:rPr>
        <w:t>Рособрнадзором</w:t>
      </w:r>
      <w:proofErr w:type="spellEnd"/>
      <w:r w:rsidRPr="009722EB">
        <w:rPr>
          <w:rFonts w:ascii="PT Astra Serif" w:hAnsi="PT Astra Serif"/>
          <w:sz w:val="28"/>
          <w:szCs w:val="28"/>
          <w:lang w:eastAsia="ru-RU"/>
        </w:rPr>
        <w:t xml:space="preserve"> осуществляется обработка полученных данных</w:t>
      </w:r>
      <w:r w:rsidR="007C5D55" w:rsidRPr="009722EB">
        <w:rPr>
          <w:rFonts w:ascii="PT Astra Serif" w:hAnsi="PT Astra Serif"/>
          <w:sz w:val="28"/>
          <w:szCs w:val="28"/>
          <w:lang w:eastAsia="ru-RU"/>
        </w:rPr>
        <w:t>:</w:t>
      </w:r>
    </w:p>
    <w:p w:rsidR="007C5D55" w:rsidRPr="009722EB" w:rsidRDefault="007C5D55" w:rsidP="007C5D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 xml:space="preserve">до 15 марта 2024 года – подготовка итогового отчёта о результатах АМ, </w:t>
      </w:r>
    </w:p>
    <w:p w:rsidR="007C5D55" w:rsidRPr="009722EB" w:rsidRDefault="007C5D55" w:rsidP="007C5D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>до 1 мая 2024 года – подготовка рекомендаций по повышению качества образования и направление их в организации;</w:t>
      </w:r>
    </w:p>
    <w:p w:rsidR="007C5D55" w:rsidRPr="009722EB" w:rsidRDefault="007C5D55" w:rsidP="007C5D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22EB">
        <w:rPr>
          <w:rFonts w:ascii="PT Astra Serif" w:hAnsi="PT Astra Serif"/>
          <w:sz w:val="28"/>
          <w:szCs w:val="28"/>
        </w:rPr>
        <w:t xml:space="preserve">до 1 июня 2024 года – размещение итогового отчёта на официальных сайтах </w:t>
      </w:r>
      <w:proofErr w:type="spellStart"/>
      <w:r w:rsidRPr="009722EB">
        <w:rPr>
          <w:rFonts w:ascii="PT Astra Serif" w:hAnsi="PT Astra Serif"/>
          <w:sz w:val="28"/>
          <w:szCs w:val="28"/>
        </w:rPr>
        <w:t>Рособрнадзора</w:t>
      </w:r>
      <w:proofErr w:type="spellEnd"/>
      <w:r w:rsidRPr="009722E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722EB">
        <w:rPr>
          <w:rFonts w:ascii="PT Astra Serif" w:hAnsi="PT Astra Serif"/>
          <w:sz w:val="28"/>
          <w:szCs w:val="28"/>
        </w:rPr>
        <w:t>Минпросвещения</w:t>
      </w:r>
      <w:proofErr w:type="spellEnd"/>
      <w:r w:rsidRPr="009722EB">
        <w:rPr>
          <w:rFonts w:ascii="PT Astra Serif" w:hAnsi="PT Astra Serif"/>
          <w:sz w:val="28"/>
          <w:szCs w:val="28"/>
        </w:rPr>
        <w:t xml:space="preserve"> России и </w:t>
      </w:r>
      <w:proofErr w:type="spellStart"/>
      <w:r w:rsidRPr="009722EB">
        <w:rPr>
          <w:rFonts w:ascii="PT Astra Serif" w:hAnsi="PT Astra Serif"/>
          <w:sz w:val="28"/>
          <w:szCs w:val="28"/>
        </w:rPr>
        <w:t>Минобрнауки</w:t>
      </w:r>
      <w:proofErr w:type="spellEnd"/>
      <w:r w:rsidRPr="009722EB">
        <w:rPr>
          <w:rFonts w:ascii="PT Astra Serif" w:hAnsi="PT Astra Serif"/>
          <w:sz w:val="28"/>
          <w:szCs w:val="28"/>
        </w:rPr>
        <w:t xml:space="preserve"> России в сети «Интернет».</w:t>
      </w:r>
    </w:p>
    <w:p w:rsidR="00E4561D" w:rsidRDefault="007C5D55" w:rsidP="007C5D55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722EB">
        <w:rPr>
          <w:rFonts w:ascii="PT Astra Serif" w:hAnsi="PT Astra Serif"/>
          <w:sz w:val="28"/>
          <w:szCs w:val="28"/>
          <w:lang w:eastAsia="ru-RU"/>
        </w:rPr>
        <w:t>Р</w:t>
      </w:r>
      <w:r w:rsidR="00E4561D" w:rsidRPr="009722EB">
        <w:rPr>
          <w:rFonts w:ascii="PT Astra Serif" w:hAnsi="PT Astra Serif"/>
          <w:sz w:val="28"/>
          <w:szCs w:val="28"/>
          <w:lang w:eastAsia="ru-RU"/>
        </w:rPr>
        <w:t xml:space="preserve">езультаты мониторинга будут использованы для корректировки программ развития, формирования и корректировки критериев оценки качества образования, в том числе </w:t>
      </w:r>
      <w:r w:rsidR="00864ED6" w:rsidRPr="009722EB">
        <w:rPr>
          <w:rFonts w:ascii="PT Astra Serif" w:hAnsi="PT Astra Serif"/>
          <w:sz w:val="28"/>
          <w:szCs w:val="28"/>
          <w:lang w:eastAsia="ru-RU"/>
        </w:rPr>
        <w:t xml:space="preserve">в целях </w:t>
      </w:r>
      <w:r w:rsidR="00864ED6" w:rsidRPr="009722EB">
        <w:rPr>
          <w:rFonts w:ascii="PT Astra Serif" w:hAnsi="PT Astra Serif"/>
          <w:sz w:val="28"/>
          <w:szCs w:val="28"/>
        </w:rPr>
        <w:t>развития</w:t>
      </w:r>
      <w:r w:rsidR="003F261D">
        <w:rPr>
          <w:rFonts w:ascii="PT Astra Serif" w:hAnsi="PT Astra Serif"/>
          <w:sz w:val="28"/>
          <w:szCs w:val="28"/>
        </w:rPr>
        <w:t xml:space="preserve"> </w:t>
      </w:r>
      <w:r w:rsidR="00E4561D" w:rsidRPr="009722EB">
        <w:rPr>
          <w:rFonts w:ascii="PT Astra Serif" w:hAnsi="PT Astra Serif"/>
          <w:sz w:val="28"/>
          <w:szCs w:val="28"/>
          <w:lang w:eastAsia="ru-RU"/>
        </w:rPr>
        <w:t>внутренней</w:t>
      </w:r>
      <w:r w:rsidR="00E4561D">
        <w:rPr>
          <w:rFonts w:ascii="PT Astra Serif" w:hAnsi="PT Astra Serif"/>
          <w:sz w:val="28"/>
          <w:szCs w:val="28"/>
          <w:lang w:eastAsia="ru-RU"/>
        </w:rPr>
        <w:t xml:space="preserve"> системы оценки качества образования.</w:t>
      </w:r>
    </w:p>
    <w:p w:rsidR="00DF3FC4" w:rsidRDefault="00420218" w:rsidP="00E45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Кроме того, на постоянной основе </w:t>
      </w:r>
      <w:r w:rsidR="00AB5B4E">
        <w:rPr>
          <w:rFonts w:ascii="PT Astra Serif" w:hAnsi="PT Astra Serif"/>
          <w:sz w:val="28"/>
          <w:szCs w:val="28"/>
          <w:lang w:eastAsia="ru-RU"/>
        </w:rPr>
        <w:t xml:space="preserve">в целях </w:t>
      </w:r>
      <w:r w:rsidR="00AB5B4E">
        <w:rPr>
          <w:rFonts w:ascii="Times New Roman" w:hAnsi="Times New Roman" w:cs="Times New Roman"/>
          <w:sz w:val="28"/>
          <w:szCs w:val="28"/>
          <w:lang w:bidi="ru-RU"/>
        </w:rPr>
        <w:t>снижения плановой нагрузки на контролируемых лиц</w:t>
      </w:r>
      <w:r w:rsidR="003F2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 xml:space="preserve">проводится корректировка индикаторов риска нарушений обязательных требований. В 2023 году на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региональном уровне доработана нормативная правовая база в части изменений индикаторов риска </w:t>
      </w: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>и ключевого показателя эффективности контрольной (надзорной) деятельности</w:t>
      </w:r>
      <w:r w:rsidR="003F261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AB5B4E">
        <w:rPr>
          <w:rFonts w:ascii="Times New Roman" w:hAnsi="Times New Roman" w:cs="Times New Roman"/>
          <w:sz w:val="28"/>
          <w:szCs w:val="28"/>
          <w:lang w:bidi="ru-RU"/>
        </w:rPr>
        <w:t>при осуществлении регионального контроля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AB5B4E">
        <w:rPr>
          <w:rFonts w:ascii="Times New Roman" w:hAnsi="Times New Roman" w:cs="Times New Roman"/>
          <w:sz w:val="28"/>
          <w:szCs w:val="28"/>
          <w:lang w:bidi="ru-RU"/>
        </w:rPr>
        <w:t>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 положения </w:t>
      </w:r>
      <w:r w:rsidR="00AB5B4E">
        <w:rPr>
          <w:rFonts w:ascii="Times New Roman" w:hAnsi="Times New Roman" w:cs="Times New Roman"/>
          <w:sz w:val="28"/>
          <w:szCs w:val="28"/>
          <w:lang w:bidi="ru-RU"/>
        </w:rPr>
        <w:t xml:space="preserve">исключены </w:t>
      </w:r>
      <w:r>
        <w:rPr>
          <w:rFonts w:ascii="Times New Roman" w:hAnsi="Times New Roman" w:cs="Times New Roman"/>
          <w:sz w:val="28"/>
          <w:szCs w:val="28"/>
          <w:lang w:bidi="ru-RU"/>
        </w:rPr>
        <w:t>неэффективные индикаторы риск</w:t>
      </w:r>
      <w:r w:rsidR="00AB5B4E">
        <w:rPr>
          <w:rFonts w:ascii="Times New Roman" w:hAnsi="Times New Roman" w:cs="Times New Roman"/>
          <w:sz w:val="28"/>
          <w:szCs w:val="28"/>
          <w:lang w:bidi="ru-RU"/>
        </w:rPr>
        <w:t>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="00AB5B4E">
        <w:rPr>
          <w:rFonts w:ascii="Times New Roman" w:hAnsi="Times New Roman" w:cs="Times New Roman"/>
          <w:sz w:val="28"/>
          <w:szCs w:val="28"/>
          <w:lang w:bidi="ru-RU"/>
        </w:rPr>
        <w:t>добавл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ены три новых индикатора, </w:t>
      </w:r>
      <w:r w:rsidR="00AB5B4E">
        <w:rPr>
          <w:rFonts w:ascii="Times New Roman" w:hAnsi="Times New Roman" w:cs="Times New Roman"/>
          <w:sz w:val="28"/>
          <w:szCs w:val="28"/>
          <w:lang w:bidi="ru-RU"/>
        </w:rPr>
        <w:t>которые позволят обеспечить уход от проверок по обращениям к внеплановым проверкам по индикаторам риска.</w:t>
      </w:r>
    </w:p>
    <w:p w:rsidR="00E4561D" w:rsidRPr="0087749D" w:rsidRDefault="00E4561D" w:rsidP="00E45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 в целях мотивации контролируемых лиц к соблюдению обязательных требований в 2023 году Министерством </w:t>
      </w:r>
      <w:r w:rsidRPr="0087749D">
        <w:rPr>
          <w:rFonts w:ascii="PT Astra Serif" w:hAnsi="PT Astra Serif"/>
          <w:sz w:val="28"/>
          <w:szCs w:val="28"/>
          <w:lang w:eastAsia="ru-RU"/>
        </w:rPr>
        <w:t>начато внедрение механизмов стимулирования добросовестности контролируемых лиц.</w:t>
      </w:r>
    </w:p>
    <w:p w:rsidR="00DF3FC4" w:rsidRPr="009722EB" w:rsidRDefault="008B7B5E" w:rsidP="00E45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7749D">
        <w:rPr>
          <w:rFonts w:ascii="PT Astra Serif" w:hAnsi="PT Astra Serif"/>
          <w:sz w:val="28"/>
          <w:szCs w:val="28"/>
          <w:lang w:eastAsia="ru-RU"/>
        </w:rPr>
        <w:t xml:space="preserve">Для этого </w:t>
      </w:r>
      <w:r w:rsidR="00015133" w:rsidRPr="0087749D">
        <w:rPr>
          <w:rFonts w:ascii="PT Astra Serif" w:hAnsi="PT Astra Serif"/>
          <w:sz w:val="28"/>
          <w:szCs w:val="28"/>
          <w:lang w:eastAsia="ru-RU"/>
        </w:rPr>
        <w:t>положениями о виде государственного</w:t>
      </w:r>
      <w:r w:rsidR="00015133">
        <w:rPr>
          <w:rFonts w:ascii="PT Astra Serif" w:hAnsi="PT Astra Serif"/>
          <w:sz w:val="28"/>
          <w:szCs w:val="28"/>
          <w:lang w:eastAsia="ru-RU"/>
        </w:rPr>
        <w:t xml:space="preserve"> контроля (надзора) определены</w:t>
      </w:r>
      <w:r w:rsidR="003F26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B7B5E">
        <w:rPr>
          <w:rFonts w:ascii="PT Astra Serif" w:hAnsi="PT Astra Serif"/>
          <w:sz w:val="28"/>
          <w:szCs w:val="28"/>
          <w:lang w:eastAsia="ru-RU"/>
        </w:rPr>
        <w:t>критери</w:t>
      </w:r>
      <w:r>
        <w:rPr>
          <w:rFonts w:ascii="PT Astra Serif" w:hAnsi="PT Astra Serif"/>
          <w:sz w:val="28"/>
          <w:szCs w:val="28"/>
          <w:lang w:eastAsia="ru-RU"/>
        </w:rPr>
        <w:t>и</w:t>
      </w:r>
      <w:r w:rsidRPr="008B7B5E">
        <w:rPr>
          <w:rFonts w:ascii="PT Astra Serif" w:hAnsi="PT Astra Serif"/>
          <w:sz w:val="28"/>
          <w:szCs w:val="28"/>
          <w:lang w:eastAsia="ru-RU"/>
        </w:rPr>
        <w:t xml:space="preserve"> добросовестности</w:t>
      </w:r>
      <w:r>
        <w:rPr>
          <w:rFonts w:ascii="PT Astra Serif" w:hAnsi="PT Astra Serif"/>
          <w:sz w:val="28"/>
          <w:szCs w:val="28"/>
          <w:lang w:eastAsia="ru-RU"/>
        </w:rPr>
        <w:t>, в соответствии с которыми ежегодно</w:t>
      </w:r>
      <w:r w:rsidR="00AB5B4E">
        <w:rPr>
          <w:rFonts w:ascii="PT Astra Serif" w:hAnsi="PT Astra Serif"/>
          <w:sz w:val="28"/>
          <w:szCs w:val="28"/>
          <w:lang w:eastAsia="ru-RU"/>
        </w:rPr>
        <w:t xml:space="preserve"> будет</w:t>
      </w:r>
      <w:r>
        <w:rPr>
          <w:rFonts w:ascii="PT Astra Serif" w:hAnsi="PT Astra Serif"/>
          <w:sz w:val="28"/>
          <w:szCs w:val="28"/>
          <w:lang w:eastAsia="ru-RU"/>
        </w:rPr>
        <w:t xml:space="preserve"> пров</w:t>
      </w:r>
      <w:r w:rsidR="00AB5B4E">
        <w:rPr>
          <w:rFonts w:ascii="PT Astra Serif" w:hAnsi="PT Astra Serif"/>
          <w:sz w:val="28"/>
          <w:szCs w:val="28"/>
          <w:lang w:eastAsia="ru-RU"/>
        </w:rPr>
        <w:t>одится</w:t>
      </w:r>
      <w:r>
        <w:rPr>
          <w:rFonts w:ascii="PT Astra Serif" w:hAnsi="PT Astra Serif"/>
          <w:sz w:val="28"/>
          <w:szCs w:val="28"/>
          <w:lang w:eastAsia="ru-RU"/>
        </w:rPr>
        <w:t xml:space="preserve"> оценк</w:t>
      </w:r>
      <w:r w:rsidR="00AB5B4E">
        <w:rPr>
          <w:rFonts w:ascii="PT Astra Serif" w:hAnsi="PT Astra Serif"/>
          <w:sz w:val="28"/>
          <w:szCs w:val="28"/>
          <w:lang w:eastAsia="ru-RU"/>
        </w:rPr>
        <w:t>а</w:t>
      </w:r>
      <w:r w:rsidR="003F26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8B7B5E">
        <w:rPr>
          <w:rFonts w:ascii="PT Astra Serif" w:hAnsi="PT Astra Serif"/>
          <w:sz w:val="28"/>
          <w:szCs w:val="28"/>
          <w:lang w:eastAsia="ru-RU"/>
        </w:rPr>
        <w:t>добросовестности</w:t>
      </w:r>
      <w:r w:rsidR="00AB5B4E">
        <w:rPr>
          <w:rFonts w:ascii="PT Astra Serif" w:hAnsi="PT Astra Serif"/>
          <w:sz w:val="28"/>
          <w:szCs w:val="28"/>
          <w:lang w:eastAsia="ru-RU"/>
        </w:rPr>
        <w:t>.</w:t>
      </w:r>
      <w:r w:rsidR="003F26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AB5B4E">
        <w:rPr>
          <w:rFonts w:ascii="PT Astra Serif" w:hAnsi="PT Astra Serif"/>
          <w:sz w:val="28"/>
          <w:szCs w:val="28"/>
          <w:lang w:eastAsia="ru-RU"/>
        </w:rPr>
        <w:t>Контролируемому</w:t>
      </w:r>
      <w:r w:rsidR="0087749D">
        <w:rPr>
          <w:rFonts w:ascii="PT Astra Serif" w:hAnsi="PT Astra Serif"/>
          <w:sz w:val="28"/>
          <w:szCs w:val="28"/>
          <w:lang w:eastAsia="ru-RU"/>
        </w:rPr>
        <w:t xml:space="preserve"> лицу</w:t>
      </w:r>
      <w:r w:rsidR="003F261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7749D">
        <w:rPr>
          <w:rFonts w:ascii="PT Astra Serif" w:hAnsi="PT Astra Serif"/>
          <w:sz w:val="28"/>
          <w:szCs w:val="28"/>
          <w:lang w:eastAsia="ru-RU"/>
        </w:rPr>
        <w:t xml:space="preserve">в случае соответствия критериям и </w:t>
      </w:r>
      <w:r w:rsidR="00AB5B4E" w:rsidRPr="00AB5B4E">
        <w:rPr>
          <w:rFonts w:ascii="PT Astra Serif" w:hAnsi="PT Astra Serif"/>
          <w:sz w:val="28"/>
          <w:szCs w:val="28"/>
          <w:lang w:eastAsia="ru-RU"/>
        </w:rPr>
        <w:t xml:space="preserve">выполняющему все обязательные требования, может быть </w:t>
      </w:r>
      <w:r w:rsidR="00AB5B4E" w:rsidRPr="009722EB">
        <w:rPr>
          <w:rFonts w:ascii="PT Astra Serif" w:hAnsi="PT Astra Serif"/>
          <w:sz w:val="28"/>
          <w:szCs w:val="28"/>
          <w:lang w:eastAsia="ru-RU"/>
        </w:rPr>
        <w:t xml:space="preserve">присвоен </w:t>
      </w:r>
      <w:proofErr w:type="spellStart"/>
      <w:r w:rsidR="009722EB" w:rsidRPr="009722EB">
        <w:rPr>
          <w:rFonts w:ascii="PT Astra Serif" w:hAnsi="PT Astra Serif"/>
          <w:sz w:val="28"/>
          <w:szCs w:val="28"/>
          <w:lang w:eastAsia="ru-RU"/>
        </w:rPr>
        <w:t>репутационны</w:t>
      </w:r>
      <w:r w:rsidR="00AB5B4E" w:rsidRPr="009722EB">
        <w:rPr>
          <w:rFonts w:ascii="PT Astra Serif" w:hAnsi="PT Astra Serif"/>
          <w:sz w:val="28"/>
          <w:szCs w:val="28"/>
          <w:lang w:eastAsia="ru-RU"/>
        </w:rPr>
        <w:t>й</w:t>
      </w:r>
      <w:proofErr w:type="spellEnd"/>
      <w:r w:rsidR="00AB5B4E" w:rsidRPr="009722EB">
        <w:rPr>
          <w:rFonts w:ascii="PT Astra Serif" w:hAnsi="PT Astra Serif"/>
          <w:sz w:val="28"/>
          <w:szCs w:val="28"/>
          <w:lang w:eastAsia="ru-RU"/>
        </w:rPr>
        <w:t xml:space="preserve"> статус или снижена категория риска.</w:t>
      </w:r>
    </w:p>
    <w:p w:rsidR="00AB5B4E" w:rsidRPr="00AB5B4E" w:rsidRDefault="00AB5B4E" w:rsidP="00AB5B4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AB5B4E">
        <w:rPr>
          <w:rFonts w:ascii="PT Astra Serif" w:hAnsi="PT Astra Serif"/>
          <w:sz w:val="28"/>
          <w:szCs w:val="28"/>
          <w:lang w:eastAsia="ru-RU"/>
        </w:rPr>
        <w:t xml:space="preserve">Внесены соответствующие изменения в Положение о региональном государственном контроле (надзоре). </w:t>
      </w:r>
    </w:p>
    <w:p w:rsidR="00E4561D" w:rsidRDefault="00E4561D" w:rsidP="00E45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Совершенствуется цифровой контур системы контрольно-надзорной деятельности. В 2023 году сформированные реестры контролируемых лиц поддерживаются в актуальном состоянии, сведения о проведенных профилактических мероприятиях своевременно вносятся в информационные системы ТОР КНД и ЕРКНМ, их открытая часть свободна для доступа всех заинтересованных лиц на любом процедурном этапе контрольно-надзорной деятельности, реализовать право контролируемого лица на досудебное обжалование с использованием портала Государственных услуг, на портале https://risk73.ru/ с помощью Электронного инспектора реализована возможность воспользоваться электронным сервисом самопроверок.</w:t>
      </w:r>
    </w:p>
    <w:p w:rsidR="00E4561D" w:rsidRDefault="00E4561D" w:rsidP="00E45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Одним из важных показателей контрольно-надзорной деятельности является отсутствие жалоб на решения и действия контрольного (надзорного) органа. При наличии у контролируемых лиц возможности подать жалобу посредством портала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Госуслуг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, в подсистеме досудебного обжалования не зафиксировано ни одной жалобы. В настоящее время отрабатывается возможность досудебного обжалования заявителем через портал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Госуслуг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действий и решений в рамках получения государственных услуг, идет настройка механизмов информационных систем.</w:t>
      </w:r>
    </w:p>
    <w:p w:rsidR="00E4561D" w:rsidRDefault="00E4561D" w:rsidP="003F261D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proofErr w:type="spellStart"/>
      <w:r>
        <w:rPr>
          <w:rFonts w:ascii="PT Astra Serif" w:hAnsi="PT Astra Serif"/>
          <w:sz w:val="28"/>
          <w:szCs w:val="28"/>
          <w:lang w:eastAsia="ru-RU"/>
        </w:rPr>
        <w:t>Цифровизация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способствует обеспечению доступности и повышения качества предоставляемых государственных услуг.</w:t>
      </w:r>
      <w:r w:rsidR="003F261D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  <w:lang w:eastAsia="ru-RU"/>
        </w:rPr>
        <w:t>Личные кабинеты «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Госуслуг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» используются все чаще. С использованием единой системы идентификации и аутентификации в ЕПГУ предоставляются государственные услуги по лицензированию. В режиме апробации с помощью ЕПГУ у заявителей появилась возможность получить услуги по подтверждению документов об образовании, квалификации, документов об учебных степенях, ученых званиях.</w:t>
      </w:r>
    </w:p>
    <w:p w:rsidR="00E4561D" w:rsidRDefault="00E4561D" w:rsidP="00E45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Осуществлен переход на реестровую модель при предоставлении государственной услуги по государственной аккредитации образовательной деятельности, что позволило сократить сроки ее предоставления со 105 до 25 дней. </w:t>
      </w:r>
    </w:p>
    <w:p w:rsidR="00E4561D" w:rsidRDefault="00E4561D" w:rsidP="00E4561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 xml:space="preserve">Важно отметить, что несмотря на такое значительное сокращение сроков оказание </w:t>
      </w:r>
      <w:proofErr w:type="spellStart"/>
      <w:r>
        <w:rPr>
          <w:rFonts w:ascii="PT Astra Serif" w:hAnsi="PT Astra Serif"/>
          <w:sz w:val="28"/>
          <w:szCs w:val="28"/>
          <w:lang w:eastAsia="ru-RU"/>
        </w:rPr>
        <w:t>госу</w:t>
      </w:r>
      <w:r w:rsidR="009C67A0">
        <w:rPr>
          <w:rFonts w:ascii="PT Astra Serif" w:hAnsi="PT Astra Serif"/>
          <w:sz w:val="28"/>
          <w:szCs w:val="28"/>
          <w:lang w:eastAsia="ru-RU"/>
        </w:rPr>
        <w:t>с</w:t>
      </w:r>
      <w:r>
        <w:rPr>
          <w:rFonts w:ascii="PT Astra Serif" w:hAnsi="PT Astra Serif"/>
          <w:sz w:val="28"/>
          <w:szCs w:val="28"/>
          <w:lang w:eastAsia="ru-RU"/>
        </w:rPr>
        <w:t>луг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>, все государственные услуги оказываются Министерством без нарушения сроков, установленных законодательством Российской Федерации.</w:t>
      </w:r>
    </w:p>
    <w:p w:rsidR="00245755" w:rsidRPr="009722EB" w:rsidRDefault="00B72374" w:rsidP="00B72374">
      <w:pPr>
        <w:spacing w:after="0" w:line="240" w:lineRule="auto"/>
        <w:ind w:firstLine="705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9722EB">
        <w:rPr>
          <w:rFonts w:ascii="PT Astra Serif" w:hAnsi="PT Astra Serif"/>
          <w:sz w:val="28"/>
          <w:szCs w:val="28"/>
        </w:rPr>
        <w:t>Наши</w:t>
      </w:r>
      <w:r w:rsidR="003F261D">
        <w:rPr>
          <w:rFonts w:ascii="PT Astra Serif" w:hAnsi="PT Astra Serif"/>
          <w:sz w:val="28"/>
          <w:szCs w:val="28"/>
        </w:rPr>
        <w:t xml:space="preserve"> </w:t>
      </w:r>
      <w:r w:rsidRPr="009722E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з</w:t>
      </w:r>
      <w:r w:rsidR="00245755" w:rsidRPr="009722EB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адачи на 2024 год:</w:t>
      </w:r>
    </w:p>
    <w:p w:rsidR="00245755" w:rsidRPr="009722EB" w:rsidRDefault="00245755" w:rsidP="00245755">
      <w:pPr>
        <w:spacing w:after="0" w:line="240" w:lineRule="auto"/>
        <w:ind w:firstLine="708"/>
        <w:jc w:val="both"/>
        <w:textAlignment w:val="baseline"/>
        <w:rPr>
          <w:rFonts w:ascii="PT Astra Serif" w:eastAsia="Calibri" w:hAnsi="PT Astra Serif" w:cs="Times New Roman"/>
          <w:bCs/>
          <w:sz w:val="28"/>
          <w:szCs w:val="28"/>
        </w:rPr>
      </w:pPr>
      <w:r w:rsidRPr="009722EB">
        <w:rPr>
          <w:rFonts w:ascii="PT Astra Serif" w:eastAsia="Calibri" w:hAnsi="PT Astra Serif" w:cs="Times New Roman"/>
          <w:bCs/>
          <w:sz w:val="28"/>
          <w:szCs w:val="28"/>
        </w:rPr>
        <w:t xml:space="preserve">1. Совершенствование </w:t>
      </w:r>
      <w:r w:rsidRPr="009722EB">
        <w:rPr>
          <w:rFonts w:ascii="PT Astra Serif" w:hAnsi="PT Astra Serif"/>
          <w:sz w:val="28"/>
          <w:szCs w:val="28"/>
        </w:rPr>
        <w:t>контрольно-надзорной деятельности</w:t>
      </w:r>
      <w:r w:rsidRPr="009722EB">
        <w:rPr>
          <w:rFonts w:ascii="PT Astra Serif" w:eastAsia="Calibri" w:hAnsi="PT Astra Serif" w:cs="Times New Roman"/>
          <w:bCs/>
          <w:sz w:val="28"/>
          <w:szCs w:val="28"/>
        </w:rPr>
        <w:t xml:space="preserve"> на основе профилактической работы по предупреждению рисков причинения вреда (ущерба) охраняемым законом ценностям. </w:t>
      </w:r>
    </w:p>
    <w:p w:rsidR="0087749D" w:rsidRPr="009722EB" w:rsidRDefault="00245755" w:rsidP="0087749D">
      <w:pPr>
        <w:spacing w:after="0" w:line="240" w:lineRule="auto"/>
        <w:ind w:firstLine="708"/>
        <w:jc w:val="both"/>
        <w:textAlignment w:val="baseline"/>
        <w:rPr>
          <w:rFonts w:ascii="PT Astra Serif" w:eastAsia="Calibri" w:hAnsi="PT Astra Serif" w:cs="Times New Roman"/>
          <w:bCs/>
          <w:sz w:val="28"/>
          <w:szCs w:val="28"/>
        </w:rPr>
      </w:pPr>
      <w:r w:rsidRPr="009722EB">
        <w:rPr>
          <w:rFonts w:ascii="PT Astra Serif" w:eastAsia="Calibri" w:hAnsi="PT Astra Serif" w:cs="Times New Roman"/>
          <w:bCs/>
          <w:sz w:val="28"/>
          <w:szCs w:val="28"/>
        </w:rPr>
        <w:t xml:space="preserve">2. </w:t>
      </w:r>
      <w:r w:rsidR="0087749D" w:rsidRPr="009722EB">
        <w:rPr>
          <w:rFonts w:ascii="PT Astra Serif" w:eastAsia="Calibri" w:hAnsi="PT Astra Serif" w:cs="Times New Roman"/>
          <w:bCs/>
          <w:sz w:val="28"/>
          <w:szCs w:val="28"/>
        </w:rPr>
        <w:t>Внедрение в практику механизмов использования индикаторов риска при организации контрольной надзорной деятельности.</w:t>
      </w:r>
    </w:p>
    <w:p w:rsidR="00245755" w:rsidRDefault="0087749D" w:rsidP="00245755">
      <w:pPr>
        <w:spacing w:after="0" w:line="240" w:lineRule="auto"/>
        <w:ind w:firstLine="708"/>
        <w:jc w:val="both"/>
        <w:textAlignment w:val="baseline"/>
        <w:rPr>
          <w:rFonts w:ascii="PT Astra Serif" w:eastAsia="Calibri" w:hAnsi="PT Astra Serif" w:cs="Times New Roman"/>
          <w:bCs/>
          <w:sz w:val="28"/>
          <w:szCs w:val="28"/>
        </w:rPr>
      </w:pPr>
      <w:r w:rsidRPr="009722EB">
        <w:rPr>
          <w:rFonts w:ascii="PT Astra Serif" w:eastAsia="Calibri" w:hAnsi="PT Astra Serif" w:cs="Times New Roman"/>
          <w:bCs/>
          <w:sz w:val="28"/>
          <w:szCs w:val="28"/>
        </w:rPr>
        <w:t xml:space="preserve">3. </w:t>
      </w:r>
      <w:r w:rsidR="00245755" w:rsidRPr="009722EB">
        <w:rPr>
          <w:rFonts w:ascii="PT Astra Serif" w:eastAsia="Times New Roman" w:hAnsi="PT Astra Serif" w:cs="Arial"/>
          <w:sz w:val="28"/>
          <w:szCs w:val="28"/>
          <w:lang w:eastAsia="ru-RU"/>
        </w:rPr>
        <w:t>П</w:t>
      </w:r>
      <w:r w:rsidR="00245755" w:rsidRPr="009722EB">
        <w:rPr>
          <w:rFonts w:ascii="PT Astra Serif" w:hAnsi="PT Astra Serif"/>
          <w:sz w:val="28"/>
          <w:szCs w:val="28"/>
        </w:rPr>
        <w:t xml:space="preserve">овышение доступности </w:t>
      </w:r>
      <w:r w:rsidR="00245755" w:rsidRPr="009722EB">
        <w:rPr>
          <w:rFonts w:ascii="PT Astra Serif" w:eastAsia="Calibri" w:hAnsi="PT Astra Serif" w:cs="Times New Roman"/>
          <w:bCs/>
          <w:sz w:val="28"/>
          <w:szCs w:val="28"/>
        </w:rPr>
        <w:t>и качества</w:t>
      </w:r>
      <w:r w:rsidR="00245755">
        <w:rPr>
          <w:rFonts w:ascii="PT Astra Serif" w:eastAsia="Calibri" w:hAnsi="PT Astra Serif" w:cs="Times New Roman"/>
          <w:bCs/>
          <w:sz w:val="28"/>
          <w:szCs w:val="28"/>
        </w:rPr>
        <w:t xml:space="preserve"> предоставления государственных услуг в сфере образования.</w:t>
      </w:r>
    </w:p>
    <w:p w:rsidR="009C67A0" w:rsidRDefault="009C67A0" w:rsidP="00245755">
      <w:pPr>
        <w:spacing w:after="0" w:line="240" w:lineRule="auto"/>
        <w:ind w:firstLine="708"/>
        <w:jc w:val="both"/>
        <w:textAlignment w:val="baseline"/>
        <w:rPr>
          <w:rFonts w:ascii="PT Astra Serif" w:eastAsia="Calibri" w:hAnsi="PT Astra Serif" w:cs="Times New Roman"/>
          <w:bCs/>
          <w:sz w:val="28"/>
          <w:szCs w:val="28"/>
        </w:rPr>
      </w:pPr>
      <w:r>
        <w:rPr>
          <w:rFonts w:ascii="PT Astra Serif" w:eastAsia="Calibri" w:hAnsi="PT Astra Serif" w:cs="Times New Roman"/>
          <w:bCs/>
          <w:sz w:val="28"/>
          <w:szCs w:val="28"/>
        </w:rPr>
        <w:t>________________________________________________________</w:t>
      </w:r>
      <w:bookmarkStart w:id="0" w:name="_GoBack"/>
      <w:bookmarkEnd w:id="0"/>
    </w:p>
    <w:p w:rsidR="0083062D" w:rsidRDefault="0083062D" w:rsidP="0083062D">
      <w:pPr>
        <w:pStyle w:val="a3"/>
        <w:tabs>
          <w:tab w:val="left" w:pos="993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E73559" w:rsidRDefault="00E73559" w:rsidP="00F5236C">
      <w:pPr>
        <w:spacing w:after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E73559" w:rsidRDefault="00E73559" w:rsidP="00F5236C">
      <w:pPr>
        <w:spacing w:after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sectPr w:rsidR="00E73559" w:rsidSect="0058171D">
      <w:headerReference w:type="default" r:id="rId7"/>
      <w:pgSz w:w="11906" w:h="16838"/>
      <w:pgMar w:top="1134" w:right="850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2E1" w:rsidRDefault="002E32E1" w:rsidP="0058171D">
      <w:pPr>
        <w:spacing w:after="0" w:line="240" w:lineRule="auto"/>
      </w:pPr>
      <w:r>
        <w:separator/>
      </w:r>
    </w:p>
  </w:endnote>
  <w:endnote w:type="continuationSeparator" w:id="0">
    <w:p w:rsidR="002E32E1" w:rsidRDefault="002E32E1" w:rsidP="0058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2E1" w:rsidRDefault="002E32E1" w:rsidP="0058171D">
      <w:pPr>
        <w:spacing w:after="0" w:line="240" w:lineRule="auto"/>
      </w:pPr>
      <w:r>
        <w:separator/>
      </w:r>
    </w:p>
  </w:footnote>
  <w:footnote w:type="continuationSeparator" w:id="0">
    <w:p w:rsidR="002E32E1" w:rsidRDefault="002E32E1" w:rsidP="00581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1008751"/>
      <w:docPartObj>
        <w:docPartGallery w:val="Page Numbers (Top of Page)"/>
        <w:docPartUnique/>
      </w:docPartObj>
    </w:sdtPr>
    <w:sdtEndPr/>
    <w:sdtContent>
      <w:p w:rsidR="00753212" w:rsidRDefault="00657EBF" w:rsidP="0058171D">
        <w:pPr>
          <w:pStyle w:val="a8"/>
          <w:jc w:val="center"/>
        </w:pPr>
        <w:r w:rsidRPr="0058171D">
          <w:rPr>
            <w:rFonts w:ascii="PT Astra Serif" w:hAnsi="PT Astra Serif"/>
            <w:sz w:val="28"/>
            <w:szCs w:val="28"/>
          </w:rPr>
          <w:fldChar w:fldCharType="begin"/>
        </w:r>
        <w:r w:rsidR="00753212" w:rsidRPr="0058171D">
          <w:rPr>
            <w:rFonts w:ascii="PT Astra Serif" w:hAnsi="PT Astra Serif"/>
            <w:sz w:val="28"/>
            <w:szCs w:val="28"/>
          </w:rPr>
          <w:instrText>PAGE   \* MERGEFORMAT</w:instrText>
        </w:r>
        <w:r w:rsidRPr="0058171D">
          <w:rPr>
            <w:rFonts w:ascii="PT Astra Serif" w:hAnsi="PT Astra Serif"/>
            <w:sz w:val="28"/>
            <w:szCs w:val="28"/>
          </w:rPr>
          <w:fldChar w:fldCharType="separate"/>
        </w:r>
        <w:r w:rsidR="009C67A0">
          <w:rPr>
            <w:rFonts w:ascii="PT Astra Serif" w:hAnsi="PT Astra Serif"/>
            <w:noProof/>
            <w:sz w:val="28"/>
            <w:szCs w:val="28"/>
          </w:rPr>
          <w:t>8</w:t>
        </w:r>
        <w:r w:rsidRPr="0058171D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7E9"/>
    <w:multiLevelType w:val="hybridMultilevel"/>
    <w:tmpl w:val="5ADE8AFE"/>
    <w:lvl w:ilvl="0" w:tplc="A356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EFB"/>
    <w:multiLevelType w:val="hybridMultilevel"/>
    <w:tmpl w:val="0D024FF0"/>
    <w:lvl w:ilvl="0" w:tplc="A356B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83B20DB"/>
    <w:multiLevelType w:val="hybridMultilevel"/>
    <w:tmpl w:val="37AC52EC"/>
    <w:lvl w:ilvl="0" w:tplc="A356BE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DC5C89"/>
    <w:multiLevelType w:val="hybridMultilevel"/>
    <w:tmpl w:val="0DF603D2"/>
    <w:lvl w:ilvl="0" w:tplc="3A22B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217B44"/>
    <w:multiLevelType w:val="hybridMultilevel"/>
    <w:tmpl w:val="801C11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3410A4"/>
    <w:multiLevelType w:val="hybridMultilevel"/>
    <w:tmpl w:val="0BB6A9CA"/>
    <w:lvl w:ilvl="0" w:tplc="A356B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0"/>
    <w:rsid w:val="00015133"/>
    <w:rsid w:val="00025C86"/>
    <w:rsid w:val="000464A0"/>
    <w:rsid w:val="00051B4C"/>
    <w:rsid w:val="00054DF8"/>
    <w:rsid w:val="00062331"/>
    <w:rsid w:val="00067328"/>
    <w:rsid w:val="0007487E"/>
    <w:rsid w:val="000875A9"/>
    <w:rsid w:val="000A2066"/>
    <w:rsid w:val="000C5C6A"/>
    <w:rsid w:val="000C7069"/>
    <w:rsid w:val="000F224E"/>
    <w:rsid w:val="000F651A"/>
    <w:rsid w:val="00100ADC"/>
    <w:rsid w:val="001015A9"/>
    <w:rsid w:val="00106F0D"/>
    <w:rsid w:val="00127CD3"/>
    <w:rsid w:val="00133328"/>
    <w:rsid w:val="0014529C"/>
    <w:rsid w:val="0014788B"/>
    <w:rsid w:val="001671BF"/>
    <w:rsid w:val="00170778"/>
    <w:rsid w:val="001752D4"/>
    <w:rsid w:val="00177EF1"/>
    <w:rsid w:val="00185C61"/>
    <w:rsid w:val="00193EEE"/>
    <w:rsid w:val="00194E68"/>
    <w:rsid w:val="001966BB"/>
    <w:rsid w:val="001B2ADC"/>
    <w:rsid w:val="002024E8"/>
    <w:rsid w:val="002070BC"/>
    <w:rsid w:val="0022300E"/>
    <w:rsid w:val="002252F0"/>
    <w:rsid w:val="002456A5"/>
    <w:rsid w:val="00245755"/>
    <w:rsid w:val="00251703"/>
    <w:rsid w:val="002547A2"/>
    <w:rsid w:val="002558AE"/>
    <w:rsid w:val="002746AF"/>
    <w:rsid w:val="00280803"/>
    <w:rsid w:val="002878D3"/>
    <w:rsid w:val="00290611"/>
    <w:rsid w:val="002A6C81"/>
    <w:rsid w:val="002B7908"/>
    <w:rsid w:val="002C5035"/>
    <w:rsid w:val="002D1D13"/>
    <w:rsid w:val="002E1770"/>
    <w:rsid w:val="002E1FDD"/>
    <w:rsid w:val="002E32E1"/>
    <w:rsid w:val="002E6F89"/>
    <w:rsid w:val="002E7E87"/>
    <w:rsid w:val="002F1827"/>
    <w:rsid w:val="002F73B4"/>
    <w:rsid w:val="0031238A"/>
    <w:rsid w:val="00320377"/>
    <w:rsid w:val="003249D0"/>
    <w:rsid w:val="00324A85"/>
    <w:rsid w:val="0033179B"/>
    <w:rsid w:val="00343442"/>
    <w:rsid w:val="00352CE9"/>
    <w:rsid w:val="00352EAD"/>
    <w:rsid w:val="00360A23"/>
    <w:rsid w:val="00365C00"/>
    <w:rsid w:val="00371139"/>
    <w:rsid w:val="00375E03"/>
    <w:rsid w:val="00391EB2"/>
    <w:rsid w:val="003A3C6D"/>
    <w:rsid w:val="003B2D55"/>
    <w:rsid w:val="003B33AD"/>
    <w:rsid w:val="003C374F"/>
    <w:rsid w:val="003C40DF"/>
    <w:rsid w:val="003C77A7"/>
    <w:rsid w:val="003E03FC"/>
    <w:rsid w:val="003F261D"/>
    <w:rsid w:val="00402D44"/>
    <w:rsid w:val="0041333A"/>
    <w:rsid w:val="00414BAF"/>
    <w:rsid w:val="00420218"/>
    <w:rsid w:val="00422BF8"/>
    <w:rsid w:val="0045195B"/>
    <w:rsid w:val="00471308"/>
    <w:rsid w:val="0047422F"/>
    <w:rsid w:val="00476863"/>
    <w:rsid w:val="00485840"/>
    <w:rsid w:val="00497D9D"/>
    <w:rsid w:val="004C677E"/>
    <w:rsid w:val="004D1A26"/>
    <w:rsid w:val="004D448E"/>
    <w:rsid w:val="004E617A"/>
    <w:rsid w:val="004E72D1"/>
    <w:rsid w:val="00501244"/>
    <w:rsid w:val="00517BD7"/>
    <w:rsid w:val="005200C1"/>
    <w:rsid w:val="00535B34"/>
    <w:rsid w:val="005469B8"/>
    <w:rsid w:val="00550E7F"/>
    <w:rsid w:val="005572CD"/>
    <w:rsid w:val="005751ED"/>
    <w:rsid w:val="0058171D"/>
    <w:rsid w:val="0058587F"/>
    <w:rsid w:val="00596264"/>
    <w:rsid w:val="005E25DC"/>
    <w:rsid w:val="005F586C"/>
    <w:rsid w:val="006052A0"/>
    <w:rsid w:val="00611842"/>
    <w:rsid w:val="006218A6"/>
    <w:rsid w:val="00633897"/>
    <w:rsid w:val="006439FA"/>
    <w:rsid w:val="006463F2"/>
    <w:rsid w:val="00651595"/>
    <w:rsid w:val="006548A0"/>
    <w:rsid w:val="00657EBF"/>
    <w:rsid w:val="00666B69"/>
    <w:rsid w:val="006746D2"/>
    <w:rsid w:val="00692EB6"/>
    <w:rsid w:val="006A313D"/>
    <w:rsid w:val="006B3151"/>
    <w:rsid w:val="006B7D64"/>
    <w:rsid w:val="006D707E"/>
    <w:rsid w:val="006E19CF"/>
    <w:rsid w:val="006F7766"/>
    <w:rsid w:val="00706AB6"/>
    <w:rsid w:val="007074BB"/>
    <w:rsid w:val="00707EA1"/>
    <w:rsid w:val="00711195"/>
    <w:rsid w:val="007310CC"/>
    <w:rsid w:val="007515C4"/>
    <w:rsid w:val="00751DF1"/>
    <w:rsid w:val="00753212"/>
    <w:rsid w:val="0075430B"/>
    <w:rsid w:val="00760AFE"/>
    <w:rsid w:val="007627F9"/>
    <w:rsid w:val="00763A76"/>
    <w:rsid w:val="007643F7"/>
    <w:rsid w:val="007A1491"/>
    <w:rsid w:val="007A1D37"/>
    <w:rsid w:val="007A6C9C"/>
    <w:rsid w:val="007C012F"/>
    <w:rsid w:val="007C5D55"/>
    <w:rsid w:val="0081619F"/>
    <w:rsid w:val="0083062D"/>
    <w:rsid w:val="00841EB0"/>
    <w:rsid w:val="0084233B"/>
    <w:rsid w:val="0084431B"/>
    <w:rsid w:val="008649A1"/>
    <w:rsid w:val="00864ED6"/>
    <w:rsid w:val="00870209"/>
    <w:rsid w:val="008737BD"/>
    <w:rsid w:val="0087492A"/>
    <w:rsid w:val="0087749D"/>
    <w:rsid w:val="00877B79"/>
    <w:rsid w:val="00877D7F"/>
    <w:rsid w:val="00881968"/>
    <w:rsid w:val="008837C6"/>
    <w:rsid w:val="008B3EC1"/>
    <w:rsid w:val="008B7B5E"/>
    <w:rsid w:val="008C5DA6"/>
    <w:rsid w:val="008D2F72"/>
    <w:rsid w:val="008E484C"/>
    <w:rsid w:val="008F3EC5"/>
    <w:rsid w:val="008F705F"/>
    <w:rsid w:val="00903365"/>
    <w:rsid w:val="00917D8D"/>
    <w:rsid w:val="00931CD0"/>
    <w:rsid w:val="009337F0"/>
    <w:rsid w:val="00942805"/>
    <w:rsid w:val="009539E8"/>
    <w:rsid w:val="00963AF1"/>
    <w:rsid w:val="00967B80"/>
    <w:rsid w:val="00971C1B"/>
    <w:rsid w:val="009722EB"/>
    <w:rsid w:val="00985C72"/>
    <w:rsid w:val="00994CE8"/>
    <w:rsid w:val="0099660C"/>
    <w:rsid w:val="009970C3"/>
    <w:rsid w:val="009B20CE"/>
    <w:rsid w:val="009B59E8"/>
    <w:rsid w:val="009C67A0"/>
    <w:rsid w:val="009D3593"/>
    <w:rsid w:val="009D4673"/>
    <w:rsid w:val="009E1B6C"/>
    <w:rsid w:val="00A333CB"/>
    <w:rsid w:val="00A350B4"/>
    <w:rsid w:val="00A43A50"/>
    <w:rsid w:val="00A448C2"/>
    <w:rsid w:val="00A45A2F"/>
    <w:rsid w:val="00A568CD"/>
    <w:rsid w:val="00A8087F"/>
    <w:rsid w:val="00A845C3"/>
    <w:rsid w:val="00A87CE2"/>
    <w:rsid w:val="00A9459F"/>
    <w:rsid w:val="00AA6638"/>
    <w:rsid w:val="00AB00F0"/>
    <w:rsid w:val="00AB512E"/>
    <w:rsid w:val="00AB5B4E"/>
    <w:rsid w:val="00AC4E2E"/>
    <w:rsid w:val="00AC6A69"/>
    <w:rsid w:val="00AD057C"/>
    <w:rsid w:val="00AD2196"/>
    <w:rsid w:val="00AE5AB8"/>
    <w:rsid w:val="00AE7849"/>
    <w:rsid w:val="00B0362B"/>
    <w:rsid w:val="00B16B63"/>
    <w:rsid w:val="00B326F6"/>
    <w:rsid w:val="00B36EFE"/>
    <w:rsid w:val="00B57805"/>
    <w:rsid w:val="00B64CCF"/>
    <w:rsid w:val="00B65191"/>
    <w:rsid w:val="00B72374"/>
    <w:rsid w:val="00B752DC"/>
    <w:rsid w:val="00B825C5"/>
    <w:rsid w:val="00B825EB"/>
    <w:rsid w:val="00B8547C"/>
    <w:rsid w:val="00B93F58"/>
    <w:rsid w:val="00B96245"/>
    <w:rsid w:val="00BA1F18"/>
    <w:rsid w:val="00BA4A3E"/>
    <w:rsid w:val="00BB65B5"/>
    <w:rsid w:val="00BF3123"/>
    <w:rsid w:val="00BF78CF"/>
    <w:rsid w:val="00C039B4"/>
    <w:rsid w:val="00C1517B"/>
    <w:rsid w:val="00C31DFC"/>
    <w:rsid w:val="00C50D65"/>
    <w:rsid w:val="00C80CB2"/>
    <w:rsid w:val="00C81EB1"/>
    <w:rsid w:val="00C862F5"/>
    <w:rsid w:val="00CA6E0A"/>
    <w:rsid w:val="00CB4E2A"/>
    <w:rsid w:val="00CB708E"/>
    <w:rsid w:val="00CC0AF7"/>
    <w:rsid w:val="00CC1400"/>
    <w:rsid w:val="00CD137E"/>
    <w:rsid w:val="00CF7683"/>
    <w:rsid w:val="00CF7F42"/>
    <w:rsid w:val="00D26801"/>
    <w:rsid w:val="00D278BF"/>
    <w:rsid w:val="00D361E0"/>
    <w:rsid w:val="00D50F30"/>
    <w:rsid w:val="00D60BBC"/>
    <w:rsid w:val="00D626EE"/>
    <w:rsid w:val="00D735A6"/>
    <w:rsid w:val="00D91693"/>
    <w:rsid w:val="00DA1578"/>
    <w:rsid w:val="00DA6906"/>
    <w:rsid w:val="00DC23EA"/>
    <w:rsid w:val="00DD0729"/>
    <w:rsid w:val="00DD5707"/>
    <w:rsid w:val="00DF3FC4"/>
    <w:rsid w:val="00E078C9"/>
    <w:rsid w:val="00E10016"/>
    <w:rsid w:val="00E30B33"/>
    <w:rsid w:val="00E34EB5"/>
    <w:rsid w:val="00E40F29"/>
    <w:rsid w:val="00E42998"/>
    <w:rsid w:val="00E4316D"/>
    <w:rsid w:val="00E4561D"/>
    <w:rsid w:val="00E462DE"/>
    <w:rsid w:val="00E51379"/>
    <w:rsid w:val="00E566EB"/>
    <w:rsid w:val="00E7070B"/>
    <w:rsid w:val="00E72BF9"/>
    <w:rsid w:val="00E73559"/>
    <w:rsid w:val="00EA208F"/>
    <w:rsid w:val="00EB170D"/>
    <w:rsid w:val="00ED1BEF"/>
    <w:rsid w:val="00ED3EAD"/>
    <w:rsid w:val="00F0470D"/>
    <w:rsid w:val="00F373B3"/>
    <w:rsid w:val="00F41F3F"/>
    <w:rsid w:val="00F43AFA"/>
    <w:rsid w:val="00F47632"/>
    <w:rsid w:val="00F5236C"/>
    <w:rsid w:val="00F7011B"/>
    <w:rsid w:val="00F82F0A"/>
    <w:rsid w:val="00F83CD8"/>
    <w:rsid w:val="00FA0D2E"/>
    <w:rsid w:val="00FB11B8"/>
    <w:rsid w:val="00FB2111"/>
    <w:rsid w:val="00FD14C8"/>
    <w:rsid w:val="00FE1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384F4"/>
  <w15:docId w15:val="{2623271E-C79C-4416-9A5E-22025FE8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4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D14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D14C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unhideWhenUsed/>
    <w:rsid w:val="0032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3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7B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8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8171D"/>
  </w:style>
  <w:style w:type="paragraph" w:styleId="aa">
    <w:name w:val="footer"/>
    <w:basedOn w:val="a"/>
    <w:link w:val="ab"/>
    <w:uiPriority w:val="99"/>
    <w:unhideWhenUsed/>
    <w:rsid w:val="00581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8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Пронина</cp:lastModifiedBy>
  <cp:revision>6</cp:revision>
  <cp:lastPrinted>2024-02-21T10:51:00Z</cp:lastPrinted>
  <dcterms:created xsi:type="dcterms:W3CDTF">2024-02-26T12:45:00Z</dcterms:created>
  <dcterms:modified xsi:type="dcterms:W3CDTF">2024-02-28T11:02:00Z</dcterms:modified>
</cp:coreProperties>
</file>