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24" w:rsidRDefault="008656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5624" w:rsidRDefault="00865624">
      <w:pPr>
        <w:pStyle w:val="ConsPlusNormal"/>
        <w:jc w:val="both"/>
        <w:outlineLvl w:val="0"/>
      </w:pPr>
    </w:p>
    <w:p w:rsidR="00865624" w:rsidRDefault="00865624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65624" w:rsidRDefault="00865624">
      <w:pPr>
        <w:pStyle w:val="ConsPlusTitle"/>
        <w:jc w:val="both"/>
      </w:pPr>
    </w:p>
    <w:p w:rsidR="00865624" w:rsidRDefault="00865624">
      <w:pPr>
        <w:pStyle w:val="ConsPlusTitle"/>
        <w:jc w:val="center"/>
      </w:pPr>
      <w:r>
        <w:t>ПОСТАНОВЛЕНИЕ</w:t>
      </w:r>
    </w:p>
    <w:p w:rsidR="00865624" w:rsidRDefault="00865624">
      <w:pPr>
        <w:pStyle w:val="ConsPlusTitle"/>
        <w:jc w:val="center"/>
      </w:pPr>
      <w:r>
        <w:t>от 7 мая 2020 г. N 236-П</w:t>
      </w:r>
    </w:p>
    <w:p w:rsidR="00865624" w:rsidRDefault="00865624">
      <w:pPr>
        <w:pStyle w:val="ConsPlusTitle"/>
        <w:jc w:val="both"/>
      </w:pPr>
    </w:p>
    <w:p w:rsidR="00865624" w:rsidRDefault="00865624">
      <w:pPr>
        <w:pStyle w:val="ConsPlusTitle"/>
        <w:jc w:val="center"/>
      </w:pPr>
      <w:r>
        <w:t>ОБ УТВЕРЖДЕНИИ ПРАВИЛ ОПРЕДЕЛЕНИЯ ОБЪЕМА И ПРЕДОСТАВЛЕНИЯ</w:t>
      </w:r>
    </w:p>
    <w:p w:rsidR="00865624" w:rsidRDefault="00865624">
      <w:pPr>
        <w:pStyle w:val="ConsPlusTitle"/>
        <w:jc w:val="center"/>
      </w:pPr>
      <w:r>
        <w:t>АВТОНОМНОЙ НЕКОММЕРЧЕСКОЙ ОРГАНИЗАЦИИ ДОПОЛНИТЕЛЬНОГО</w:t>
      </w:r>
    </w:p>
    <w:p w:rsidR="00865624" w:rsidRDefault="00865624">
      <w:pPr>
        <w:pStyle w:val="ConsPlusTitle"/>
        <w:jc w:val="center"/>
      </w:pPr>
      <w:r>
        <w:t>ОБРАЗОВАНИЯ "АГЕНТСТВО ТЕХНОЛОГИЧЕСКОГО РАЗВИТИЯ УЛЬЯНОВСКОЙ</w:t>
      </w:r>
    </w:p>
    <w:p w:rsidR="00865624" w:rsidRDefault="00865624">
      <w:pPr>
        <w:pStyle w:val="ConsPlusTitle"/>
        <w:jc w:val="center"/>
      </w:pPr>
      <w:r>
        <w:t>ОБЛАСТИ" СУБСИДИЙ ИЗ ОБЛАСТНОГО БЮДЖЕТА УЛЬЯНОВСКОЙ ОБЛАСТИ</w:t>
      </w:r>
    </w:p>
    <w:p w:rsidR="00865624" w:rsidRDefault="00865624">
      <w:pPr>
        <w:pStyle w:val="ConsPlusTitle"/>
        <w:jc w:val="center"/>
      </w:pPr>
      <w:r>
        <w:t>В ЦЕЛЯХ ФИНАНСОВОГО ОБЕСПЕЧЕНИЯ ЗАТРАТ, СВЯЗАННЫХ</w:t>
      </w:r>
    </w:p>
    <w:p w:rsidR="00865624" w:rsidRDefault="00865624">
      <w:pPr>
        <w:pStyle w:val="ConsPlusTitle"/>
        <w:jc w:val="center"/>
      </w:pPr>
      <w:r>
        <w:t>С ОРГАНИЗАЦИЕЙ ДЕЯТЕЛЬНОСТИ ЦЕНТРА ЦИФРОВОГО ОБРАЗОВАНИЯ</w:t>
      </w:r>
    </w:p>
    <w:p w:rsidR="00865624" w:rsidRDefault="00865624">
      <w:pPr>
        <w:pStyle w:val="ConsPlusTitle"/>
        <w:jc w:val="center"/>
      </w:pPr>
      <w:r>
        <w:t>ДЕТЕЙ НА ТЕРРИТОРИИ УЛЬЯНОВСКОЙ ОБЛАСТИ</w:t>
      </w:r>
    </w:p>
    <w:p w:rsidR="00865624" w:rsidRDefault="008656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6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624" w:rsidRDefault="00865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624" w:rsidRDefault="008656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65624" w:rsidRDefault="00865624" w:rsidP="00865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>,)</w:t>
            </w:r>
          </w:p>
        </w:tc>
      </w:tr>
    </w:tbl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и модернизация образования в Ульяновской области" Правительство Ульяновской области постановляет: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объема и предоставления Автономной некоммерческой организации дополнительного образования "Агентство технологического развития Ульяновской области"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right"/>
      </w:pPr>
      <w:r>
        <w:t>Председатель</w:t>
      </w:r>
    </w:p>
    <w:p w:rsidR="00865624" w:rsidRDefault="00865624">
      <w:pPr>
        <w:pStyle w:val="ConsPlusNormal"/>
        <w:jc w:val="right"/>
      </w:pPr>
      <w:r>
        <w:t>Правительства Ульяновской области</w:t>
      </w:r>
    </w:p>
    <w:p w:rsidR="00865624" w:rsidRDefault="00865624">
      <w:pPr>
        <w:pStyle w:val="ConsPlusNormal"/>
        <w:jc w:val="right"/>
      </w:pPr>
      <w:r>
        <w:t>А.А.СМЕКАЛИН</w:t>
      </w: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right"/>
        <w:outlineLvl w:val="0"/>
      </w:pPr>
      <w:r>
        <w:t>Утверждены</w:t>
      </w:r>
    </w:p>
    <w:p w:rsidR="00865624" w:rsidRDefault="00865624">
      <w:pPr>
        <w:pStyle w:val="ConsPlusNormal"/>
        <w:jc w:val="right"/>
      </w:pPr>
      <w:r>
        <w:t>постановлением</w:t>
      </w:r>
    </w:p>
    <w:p w:rsidR="00865624" w:rsidRDefault="00865624">
      <w:pPr>
        <w:pStyle w:val="ConsPlusNormal"/>
        <w:jc w:val="right"/>
      </w:pPr>
      <w:r>
        <w:t>Правительства Ульяновской области</w:t>
      </w:r>
    </w:p>
    <w:p w:rsidR="00865624" w:rsidRDefault="00865624">
      <w:pPr>
        <w:pStyle w:val="ConsPlusNormal"/>
        <w:jc w:val="right"/>
      </w:pPr>
      <w:r>
        <w:t>от 7 мая 2020 г. N 236-П</w:t>
      </w: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Title"/>
        <w:jc w:val="center"/>
      </w:pPr>
      <w:bookmarkStart w:id="0" w:name="P34"/>
      <w:bookmarkEnd w:id="0"/>
      <w:r>
        <w:t>ПРАВИЛА</w:t>
      </w:r>
    </w:p>
    <w:p w:rsidR="00865624" w:rsidRDefault="00865624">
      <w:pPr>
        <w:pStyle w:val="ConsPlusTitle"/>
        <w:jc w:val="center"/>
      </w:pPr>
      <w:r>
        <w:t>ОПРЕДЕЛЕНИЯ ОБЪЕМА И ПРЕДОСТАВЛЕНИЯ АВТОНОМНОЙ</w:t>
      </w:r>
    </w:p>
    <w:p w:rsidR="00865624" w:rsidRDefault="00865624">
      <w:pPr>
        <w:pStyle w:val="ConsPlusTitle"/>
        <w:jc w:val="center"/>
      </w:pPr>
      <w:r>
        <w:t>НЕКОММЕРЧЕСКОЙ ОРГАНИЗАЦИИ ДОПОЛНИТЕЛЬНОГО ОБРАЗОВАНИЯ</w:t>
      </w:r>
    </w:p>
    <w:p w:rsidR="00865624" w:rsidRDefault="00865624">
      <w:pPr>
        <w:pStyle w:val="ConsPlusTitle"/>
        <w:jc w:val="center"/>
      </w:pPr>
      <w:r>
        <w:t>"АГЕНТСТВО ТЕХНОЛОГИЧЕСКОГО РАЗВИТИЯ УЛЬЯНОВСКОЙ ОБЛАСТИ"</w:t>
      </w:r>
    </w:p>
    <w:p w:rsidR="00865624" w:rsidRDefault="00865624">
      <w:pPr>
        <w:pStyle w:val="ConsPlusTitle"/>
        <w:jc w:val="center"/>
      </w:pPr>
      <w:r>
        <w:t>СУБСИДИЙ ИЗ ОБЛАСТНОГО БЮДЖЕТА УЛЬЯНОВСКОЙ ОБЛАСТИ В ЦЕЛЯХ</w:t>
      </w:r>
    </w:p>
    <w:p w:rsidR="00865624" w:rsidRDefault="00865624">
      <w:pPr>
        <w:pStyle w:val="ConsPlusTitle"/>
        <w:jc w:val="center"/>
      </w:pPr>
      <w:r>
        <w:t>ФИНАНСОВОГО ОБЕСПЕЧЕНИЯ ЗАТРАТ, СВЯЗАННЫХ С ОРГАНИЗАЦИЕЙ</w:t>
      </w:r>
    </w:p>
    <w:p w:rsidR="00865624" w:rsidRDefault="00865624">
      <w:pPr>
        <w:pStyle w:val="ConsPlusTitle"/>
        <w:jc w:val="center"/>
      </w:pPr>
      <w:r>
        <w:lastRenderedPageBreak/>
        <w:t>ДЕЯТЕЛЬНОСТИ ЦЕНТРА ЦИФРОВОГО ОБРАЗОВАНИЯ ДЕТЕЙ</w:t>
      </w:r>
    </w:p>
    <w:p w:rsidR="00865624" w:rsidRDefault="00865624">
      <w:pPr>
        <w:pStyle w:val="ConsPlusTitle"/>
        <w:jc w:val="center"/>
      </w:pPr>
      <w:r>
        <w:t>НА ТЕРРИТОРИИ УЛЬЯНОВСКОЙ ОБЛАСТИ</w:t>
      </w:r>
    </w:p>
    <w:p w:rsidR="00865624" w:rsidRDefault="008656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6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624" w:rsidRDefault="00865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624" w:rsidRDefault="008656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65624" w:rsidRDefault="00865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8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9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ind w:firstLine="540"/>
        <w:jc w:val="both"/>
      </w:pPr>
      <w:bookmarkStart w:id="1" w:name="P46"/>
      <w:bookmarkEnd w:id="1"/>
      <w:r>
        <w:t>1. Настоящие Правила устанавливают порядок определения объема и предоставления Автономной некоммерческой организации дополнительного образования "Агентство технологического развития Ульяновской области" (далее - Агентство)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 (далее - субсидии, Центр соответственно).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Субсидии предоставляются в целях финансового обеспечения следующих затрат Агентства в связи с организацией деятельности Центра: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1) затрат, связанных с оплатой труда работников Агентства, принятых для работы в Центре (далее - работники Центра) (за исключением затрат, связанных с осуществлением стимулирующих выплат в форме премий и иных поощрительных выплат), уплатой страховых взносов в Пенсионный Фонд Российской Федерации на обязательное пенсионное обеспечение работников Центра, в Фонд социального страхования Российской Федерации на обязательное социальное страхование работников Центра на случай временной нетрудоспособности в связи с материнством, в Федеральный фонд обязательного медицинского страхования на обязательное медицинское страхование работников Центра, в Фонд социального страхования Российской Федерации на обязательное социальное страхование работников Центра от несчастных случаев на производстве и профессиональных заболеваний, а также затрат, связанных с возмещением расходов, возникающих в случае направления работников Центра в служебные командировки;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2) затрат, связанных с оплатой государственной пошлины, а также оплатой работ и услуг по проведению экспертизы и/или технического обследования помещений Центра цифрового образования детей, оплатой иных работ и услуг, необходимых для получения заключений контрольно-надзорных государственных органов и уполномоченных организаций, необходимых для получения Агентством лицензии на осуществление образовательной деятельности по образовательным программам;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3) затрат, связанных с внесением арендной платы, предусмотренной договорами аренды помещений, занимаемых Центром, оплатой коммунальных и эксплуатационных услуг, а также работ (услуг) по содержанию занимаемых Центром помещений;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4) затрат, связанных с оплатой ежегодного обучения педагогических работников Центра по дополнительным профессиональным программам;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5) затрат, связанных с оплатой товаров, работ, услуг, необходимых для проведения в Центре мероприятий, направленных на развитие навыков и компетенций обучающихся, осваивающих реализуемые Центром дополнительные общеобразовательные программы, в сфере информационных и телекоммуникационных технологий в процессе командной работы указанных обучающихся над проектами;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6) затрат, связанных с приобретением расходных материалов, необходимых для организации деятельности Центра, в том числе канцелярских товаров и расходных материалов для сетевого оборудования (устройства, необходимые для работы компьютерной сети, в том числе: маршрутизатор, коммутатор, концентратор, </w:t>
      </w:r>
      <w:proofErr w:type="spellStart"/>
      <w:r>
        <w:t>патч</w:t>
      </w:r>
      <w:proofErr w:type="spellEnd"/>
      <w:r>
        <w:t xml:space="preserve">-панель, электронные схемы и структурированные кабельные системы, состоящие из набора кабелей и коммутационного оборудования, включающие </w:t>
      </w:r>
      <w:r>
        <w:lastRenderedPageBreak/>
        <w:t>методику их совместного использования, которая позволяет создавать регулярные расширяемые структуры связей в локальных сетях различного назначения), в целях организации и проведения практических занятий для обучающихся, осваивающих реализуемые Центром дополнительные общеобразовательные программы;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7) затрат, связанных с участием обучающихся, осваивающих реализуемые Центром дополнительные общеобразовательные программы, в олимпиадах, конкурсах, чемпионатах и других подобных мероприятиях, проходящих за пределами Ульяновской области, в том числе: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а) затрат, связанных с оплатой услуг по проживанию обучающихся, осваивающих реализуемые Центром дополнительные общеобразовательные программы, и лиц, сопровождающих их в местах проведения мероприятий;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б) затрат, связанных с приобретением проездных билетов для обучающихся, осваивающих реализуемые Центром дополнительные общеобразовательные программы, и лиц, сопровождающих их к месту проведения мероприятий и обратно;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8) затрат, связанных с оплатой услуг связи, в том числе почтовой связи;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9) затрат, связанных с оплатой услуг обеспечения охраны и пожарной безопасности Центра;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10) затрат, связанных с оплатой медицинских услуг, оказываемых в рамках прохождения ежегодного медицинского осмотра педагогическими работниками Центра;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865624" w:rsidRDefault="008656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20.11.2020 N 679-П)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3.1. Сведения о субсидиях размещаются в разделе единого портала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4. Субсидии предоставляются на основании соглашения о предоставлении субсидий, заключенного Агентством с Министерством (далее - Соглашение) в соответствии с типовой формой, установленной Министерством финансов Ульяновской области.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3" w:name="P72"/>
      <w:bookmarkStart w:id="4" w:name="_GoBack"/>
      <w:bookmarkEnd w:id="3"/>
      <w:bookmarkEnd w:id="4"/>
      <w:r>
        <w:t>5. Агентство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1) у Агентства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5" w:name="P74"/>
      <w:bookmarkEnd w:id="5"/>
      <w:r>
        <w:t>2) у Агентства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3) Агентство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</w:t>
      </w:r>
      <w:r>
        <w:lastRenderedPageBreak/>
        <w:t xml:space="preserve">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4) у Агентства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5) Агентство не должно находиться в процессе реорганизации, ликвидации, в отношении Агентства не должна быть введена процедура, применяемая в деле о банкротстве, а деятельность Агентства не должна быть приостановлена в порядке, предусмотренном законодательством Российской Федерации;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6" w:name="P78"/>
      <w:bookmarkEnd w:id="6"/>
      <w:r>
        <w:t>6) Агентству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Агентство считается подвергнутым такому наказанию, не истек.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7" w:name="P79"/>
      <w:bookmarkEnd w:id="7"/>
      <w:r>
        <w:t>6. Для получения субсидий Агентство представляет в Министерство: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1) заявку на получение субсидий, составленную в произвольной форме и подписанную единоличным исполнительным органом Агентства;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2) копию устава Агентства, заверенную единоличным исполнительным органом Агентства;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3) смету затрат,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настоящих Правил, согласованную с Министерством в установленном им порядке и утвержденную единоличным исполнительным органом Агентства;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4) копию свидетельства о государственной регистрации Агентства, заверенную единоличным исполнительным органом Агентства;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5) справку налогового органа об исполнении Агентством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первого числа месяца, предшествующего месяцу, в котором планируется заключение Соглашения;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6) справку о соответствии Агентства требованиям, установленным </w:t>
      </w:r>
      <w:hyperlink w:anchor="P74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78" w:history="1">
        <w:r>
          <w:rPr>
            <w:color w:val="0000FF"/>
          </w:rPr>
          <w:t>6 пункта 5</w:t>
        </w:r>
      </w:hyperlink>
      <w:r>
        <w:t xml:space="preserve"> настоящих Правил, подписанную единоличным исполнительным органом Агентства.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7. Министерство в течение 5 рабочих дней со дня поступления документов (копий документов), указанных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настоящих Правил, осуществляет проверку соответствия Агентства требованиям, установленным </w:t>
      </w:r>
      <w:hyperlink w:anchor="P72" w:history="1">
        <w:r>
          <w:rPr>
            <w:color w:val="0000FF"/>
          </w:rPr>
          <w:t>пунктом 5</w:t>
        </w:r>
      </w:hyperlink>
      <w: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Агентству субсидий и заключении с ним Соглашения или об отказе в предоставлении субсидий, которое оформляется распоряжением Министерства.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Основаниями для принятия Министерством решения об отказе в предоставлении субсидий являются: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несоответствие Агентства требованиям, установленным </w:t>
      </w:r>
      <w:hyperlink w:anchor="P72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представление Агентством документов (копий документов), указанных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настоящих Правил, не в полном объеме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lastRenderedPageBreak/>
        <w:t xml:space="preserve">Не позднее 3 рабочих дней со дня принятия решения, указанного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направляет Агентству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Агентство вправе повторно представить в Министерство документы (копии документов), предусмотренные </w:t>
      </w:r>
      <w:hyperlink w:anchor="P79" w:history="1">
        <w:r>
          <w:rPr>
            <w:color w:val="0000FF"/>
          </w:rPr>
          <w:t>пунктом 6</w:t>
        </w:r>
      </w:hyperlink>
      <w:r>
        <w:t xml:space="preserve"> настоящих Правил, при условии устранения обстоятельств, послуживших основанием для принятия Министерством решения об отказе в предоставлении субсидий.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8. Соглашение должно содержать в том числе: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1) объем субсидий, цели, условия и порядок их предоставления, в том числе сроки перечисления;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2) значения результатов предоставления субсидий;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3) сроки и формы представления Агентством в Министерство отчетности об использовании субсидий;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4) порядок и сроки возврата Агентством субсидий в областной бюджет Ульяновской области;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5) согласие Агентства на осуществление Министерством и органами государственного финансового контроля проверок соблюдения им условий, целей и порядка, установленных при предоставлении субсидий, и запрет приобретения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6) обязанность Агентства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В случае уменьшения ранее доведенных до Министерства, как получателя средств областного бюджета Ульяновской области, лимитов бюджетных обязательств на предоставление субсидий, приводящего к невозможности предоставления Агентству субсидии в объеме, определенном в Соглашении, в Соглашение включаются условия о согласовании новых условий Соглашения или о расторжении Соглашения в случае </w:t>
      </w:r>
      <w:proofErr w:type="spellStart"/>
      <w:r>
        <w:t>недостижения</w:t>
      </w:r>
      <w:proofErr w:type="spellEnd"/>
      <w:r>
        <w:t xml:space="preserve"> Министерством и Агентством согласия по новым условиям.</w:t>
      </w:r>
    </w:p>
    <w:p w:rsidR="00865624" w:rsidRDefault="00865624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11-П)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9. Результатами предоставления субсидий являются: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1) число детей в возрасте от 5 до 18 лет, обучающихся за счет бюджетных ассигнований областного бюджета Ульяновской области по дополнительным общеобразовательным программам, реализуемым Центром;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2) доля педагогических работников Центра, получивших дополнительное профессиональное образование, в общей численности педагогических работников Центра;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3) число детей, принявших участие в мероприятиях, проводившихся в Центре;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lastRenderedPageBreak/>
        <w:t>4) количество дополнительных общеобразовательных программ, разработанных работниками Центра и реализуемых Центром;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5) количество проведенных в Центре мероприятий, направленных на развитие навыков и компетенций обучающихся, осваивающих реализуемые Центром дополнительные общеобразовательные программы, в сфере информационных и телекоммуникационных технологий в процессе командной работы указанных обучающихся над проектами.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Агентство ежеквартально не позднее 15 числа месяца, следующего за истекшим кварталом, представляет в Министерство </w:t>
      </w:r>
      <w:hyperlink w:anchor="P125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субсидий, форма которого установлена приложением к настоящим Правилам.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10. Перечисление субсидий осуществляется Министерством с лицевого счета, открытого в Министерстве финансов Ульяновской области, на лицевой счет Агентства, открытый в Министерстве финансов Ульяновской области, в сроки, установленные Соглашением, и на основании документов (копий документов), предусмотренных Соглашением. В случае обнаружения в представленных Агентством для перечисления субсидий документах (копиях документов) неполных и (или) недостоверных сведений субсидии не перечисляются, о чем Агентство уведомляется Министерством в письменной форме не позднее 5 рабочих дней со дня обнаружения таких сведений.</w:t>
      </w:r>
    </w:p>
    <w:p w:rsidR="00865624" w:rsidRDefault="00865624">
      <w:pPr>
        <w:pStyle w:val="ConsPlusNormal"/>
        <w:jc w:val="both"/>
      </w:pPr>
      <w:r>
        <w:t xml:space="preserve">(п. 10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22.01.2021 N 11-П)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11. Министерство обеспечивает соблюдение Агентством условий, целей и порядка, установленных при предоставлении субсидий. Министерство и органы государственного финансового контроля проводят обязательную проверку соблюдения Агентством условий, целей и порядка, установленных при предоставлении субсидий.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12. В случае нарушения Агентством условий, установленных при предоставлении субсидий, или установления факта представления им недостоверных сведений, выявленных по результатам проверок, проведенных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объеме.</w:t>
      </w:r>
    </w:p>
    <w:p w:rsidR="00865624" w:rsidRDefault="00865624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Агентством результатов предоставления субсидий субсидии подлежат возврату в областной бюджет Ульяновской области в объеме, пропорциональном величине недостигнутых значений указанных результатов.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 xml:space="preserve">Министерство обеспечивает возврат субсидий в областной бюджет Ульяновской области посредством направления Агентству в срок, не превышающий 30 календарных дней со дня установления хотя бы одного из обстоятельств, являющихся в соответствии с </w:t>
      </w:r>
      <w:hyperlink w:anchor="P111" w:history="1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112" w:history="1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субсидий в областной бюджет Ульяновской области, требование о возврате субсидий в течение 10 календарных дней со дня получения указанного требования.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В случае отказа или уклонения Агентства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865624" w:rsidRDefault="00865624">
      <w:pPr>
        <w:pStyle w:val="ConsPlusNormal"/>
        <w:spacing w:before="220"/>
        <w:ind w:firstLine="540"/>
        <w:jc w:val="both"/>
      </w:pPr>
      <w:r>
        <w:t>13. Субсидии, не использованные в текущем финансовом году, подлежат использованию в очередном финансовом году на те же цели в соответствии с решением Министерства, согласованным с Министерством финансов Ульяновской области.</w:t>
      </w: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right"/>
        <w:outlineLvl w:val="1"/>
      </w:pPr>
      <w:r>
        <w:t>Приложение</w:t>
      </w:r>
    </w:p>
    <w:p w:rsidR="00865624" w:rsidRDefault="00865624">
      <w:pPr>
        <w:pStyle w:val="ConsPlusNormal"/>
        <w:jc w:val="right"/>
      </w:pPr>
      <w:r>
        <w:t>к Правилам</w:t>
      </w: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nformat"/>
        <w:jc w:val="both"/>
      </w:pPr>
      <w:bookmarkStart w:id="11" w:name="P125"/>
      <w:bookmarkEnd w:id="11"/>
      <w:r>
        <w:t xml:space="preserve">                                   ОТЧЕТ</w:t>
      </w:r>
    </w:p>
    <w:p w:rsidR="00865624" w:rsidRDefault="00865624">
      <w:pPr>
        <w:pStyle w:val="ConsPlusNonformat"/>
        <w:jc w:val="both"/>
      </w:pPr>
      <w:r>
        <w:t xml:space="preserve">             о достижении результатов предоставления субсидий</w:t>
      </w:r>
    </w:p>
    <w:p w:rsidR="00865624" w:rsidRDefault="00865624">
      <w:pPr>
        <w:pStyle w:val="ConsPlusNonformat"/>
        <w:jc w:val="both"/>
      </w:pPr>
      <w:r>
        <w:t xml:space="preserve">                   по состоянию на ___ __________ 20__ года</w:t>
      </w:r>
    </w:p>
    <w:p w:rsidR="00865624" w:rsidRDefault="00865624">
      <w:pPr>
        <w:pStyle w:val="ConsPlusNonformat"/>
        <w:jc w:val="both"/>
      </w:pPr>
    </w:p>
    <w:p w:rsidR="00865624" w:rsidRDefault="00865624">
      <w:pPr>
        <w:pStyle w:val="ConsPlusNonformat"/>
        <w:jc w:val="both"/>
      </w:pPr>
      <w:r>
        <w:t>Наименование получателя субсидий __________________________________________</w:t>
      </w:r>
    </w:p>
    <w:p w:rsidR="00865624" w:rsidRDefault="00865624">
      <w:pPr>
        <w:pStyle w:val="ConsPlusNonformat"/>
        <w:jc w:val="both"/>
      </w:pPr>
      <w:proofErr w:type="gramStart"/>
      <w:r>
        <w:t>Периодичность:  ежеквартально</w:t>
      </w:r>
      <w:proofErr w:type="gramEnd"/>
      <w:r>
        <w:t xml:space="preserve">  не  позднее  15  числа месяца, следующего за</w:t>
      </w:r>
    </w:p>
    <w:p w:rsidR="00865624" w:rsidRDefault="00865624">
      <w:pPr>
        <w:pStyle w:val="ConsPlusNonformat"/>
        <w:jc w:val="both"/>
      </w:pPr>
      <w:proofErr w:type="gramStart"/>
      <w:r>
        <w:t>истекшим  кварталом</w:t>
      </w:r>
      <w:proofErr w:type="gramEnd"/>
      <w:r>
        <w:t xml:space="preserve"> (отчет заполняется нарастающим итогом с начала текущего</w:t>
      </w:r>
    </w:p>
    <w:p w:rsidR="00865624" w:rsidRDefault="00865624">
      <w:pPr>
        <w:pStyle w:val="ConsPlusNonformat"/>
        <w:jc w:val="both"/>
      </w:pPr>
      <w:r>
        <w:t>финансового года)</w:t>
      </w:r>
    </w:p>
    <w:p w:rsidR="00865624" w:rsidRDefault="00865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737"/>
        <w:gridCol w:w="1247"/>
        <w:gridCol w:w="1474"/>
        <w:gridCol w:w="1474"/>
        <w:gridCol w:w="1247"/>
      </w:tblGrid>
      <w:tr w:rsidR="00865624">
        <w:tc>
          <w:tcPr>
            <w:tcW w:w="510" w:type="dxa"/>
            <w:vMerge w:val="restart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871" w:type="dxa"/>
            <w:gridSpan w:val="2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Плановое значение результата</w:t>
            </w:r>
          </w:p>
        </w:tc>
        <w:tc>
          <w:tcPr>
            <w:tcW w:w="1474" w:type="dxa"/>
            <w:vMerge w:val="restart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Достигнутое значение результата по состоянию на отчетную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Величина отклонения достигнутого значения результата от его планового значения</w:t>
            </w:r>
          </w:p>
        </w:tc>
        <w:tc>
          <w:tcPr>
            <w:tcW w:w="1247" w:type="dxa"/>
            <w:vMerge w:val="restart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Причина отклонения от планового значения результата</w:t>
            </w:r>
          </w:p>
        </w:tc>
      </w:tr>
      <w:tr w:rsidR="00865624">
        <w:tc>
          <w:tcPr>
            <w:tcW w:w="510" w:type="dxa"/>
            <w:vMerge/>
          </w:tcPr>
          <w:p w:rsidR="00865624" w:rsidRDefault="00865624"/>
        </w:tc>
        <w:tc>
          <w:tcPr>
            <w:tcW w:w="1247" w:type="dxa"/>
            <w:vMerge/>
          </w:tcPr>
          <w:p w:rsidR="00865624" w:rsidRDefault="00865624"/>
        </w:tc>
        <w:tc>
          <w:tcPr>
            <w:tcW w:w="1134" w:type="dxa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Align w:val="center"/>
          </w:tcPr>
          <w:p w:rsidR="00865624" w:rsidRDefault="008656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865624" w:rsidRDefault="00865624"/>
        </w:tc>
        <w:tc>
          <w:tcPr>
            <w:tcW w:w="1474" w:type="dxa"/>
            <w:vMerge/>
          </w:tcPr>
          <w:p w:rsidR="00865624" w:rsidRDefault="00865624"/>
        </w:tc>
        <w:tc>
          <w:tcPr>
            <w:tcW w:w="1474" w:type="dxa"/>
            <w:vMerge/>
          </w:tcPr>
          <w:p w:rsidR="00865624" w:rsidRDefault="00865624"/>
        </w:tc>
        <w:tc>
          <w:tcPr>
            <w:tcW w:w="1247" w:type="dxa"/>
            <w:vMerge/>
          </w:tcPr>
          <w:p w:rsidR="00865624" w:rsidRDefault="00865624"/>
        </w:tc>
      </w:tr>
      <w:tr w:rsidR="00865624">
        <w:tc>
          <w:tcPr>
            <w:tcW w:w="510" w:type="dxa"/>
          </w:tcPr>
          <w:p w:rsidR="00865624" w:rsidRDefault="00865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5624" w:rsidRDefault="00865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5624" w:rsidRDefault="00865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65624" w:rsidRDefault="00865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65624" w:rsidRDefault="00865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65624" w:rsidRDefault="00865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65624" w:rsidRDefault="00865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65624" w:rsidRDefault="00865624">
            <w:pPr>
              <w:pStyle w:val="ConsPlusNormal"/>
              <w:jc w:val="center"/>
            </w:pPr>
            <w:r>
              <w:t>8</w:t>
            </w:r>
          </w:p>
        </w:tc>
      </w:tr>
      <w:tr w:rsidR="00865624">
        <w:tc>
          <w:tcPr>
            <w:tcW w:w="510" w:type="dxa"/>
          </w:tcPr>
          <w:p w:rsidR="00865624" w:rsidRDefault="00865624">
            <w:pPr>
              <w:pStyle w:val="ConsPlusNormal"/>
            </w:pPr>
          </w:p>
        </w:tc>
        <w:tc>
          <w:tcPr>
            <w:tcW w:w="1247" w:type="dxa"/>
          </w:tcPr>
          <w:p w:rsidR="00865624" w:rsidRDefault="00865624">
            <w:pPr>
              <w:pStyle w:val="ConsPlusNormal"/>
            </w:pPr>
          </w:p>
        </w:tc>
        <w:tc>
          <w:tcPr>
            <w:tcW w:w="1134" w:type="dxa"/>
          </w:tcPr>
          <w:p w:rsidR="00865624" w:rsidRDefault="00865624">
            <w:pPr>
              <w:pStyle w:val="ConsPlusNormal"/>
            </w:pPr>
          </w:p>
        </w:tc>
        <w:tc>
          <w:tcPr>
            <w:tcW w:w="737" w:type="dxa"/>
          </w:tcPr>
          <w:p w:rsidR="00865624" w:rsidRDefault="00865624">
            <w:pPr>
              <w:pStyle w:val="ConsPlusNormal"/>
            </w:pPr>
          </w:p>
        </w:tc>
        <w:tc>
          <w:tcPr>
            <w:tcW w:w="1247" w:type="dxa"/>
          </w:tcPr>
          <w:p w:rsidR="00865624" w:rsidRDefault="00865624">
            <w:pPr>
              <w:pStyle w:val="ConsPlusNormal"/>
            </w:pPr>
          </w:p>
        </w:tc>
        <w:tc>
          <w:tcPr>
            <w:tcW w:w="1474" w:type="dxa"/>
          </w:tcPr>
          <w:p w:rsidR="00865624" w:rsidRDefault="00865624">
            <w:pPr>
              <w:pStyle w:val="ConsPlusNormal"/>
            </w:pPr>
          </w:p>
        </w:tc>
        <w:tc>
          <w:tcPr>
            <w:tcW w:w="1474" w:type="dxa"/>
          </w:tcPr>
          <w:p w:rsidR="00865624" w:rsidRDefault="00865624">
            <w:pPr>
              <w:pStyle w:val="ConsPlusNormal"/>
            </w:pPr>
          </w:p>
        </w:tc>
        <w:tc>
          <w:tcPr>
            <w:tcW w:w="1247" w:type="dxa"/>
          </w:tcPr>
          <w:p w:rsidR="00865624" w:rsidRDefault="00865624">
            <w:pPr>
              <w:pStyle w:val="ConsPlusNormal"/>
            </w:pPr>
          </w:p>
        </w:tc>
      </w:tr>
    </w:tbl>
    <w:p w:rsidR="00865624" w:rsidRDefault="00865624">
      <w:pPr>
        <w:pStyle w:val="ConsPlusNormal"/>
        <w:jc w:val="both"/>
      </w:pPr>
    </w:p>
    <w:p w:rsidR="00865624" w:rsidRDefault="00865624">
      <w:pPr>
        <w:pStyle w:val="ConsPlusNonformat"/>
        <w:jc w:val="both"/>
      </w:pPr>
      <w:r>
        <w:t>Руководитель получателя субсидий _____________ _________ __________________</w:t>
      </w:r>
    </w:p>
    <w:p w:rsidR="00865624" w:rsidRDefault="00865624">
      <w:pPr>
        <w:pStyle w:val="ConsPlusNonformat"/>
        <w:jc w:val="both"/>
      </w:pPr>
      <w:r>
        <w:t xml:space="preserve">                                 (наименование (</w:t>
      </w:r>
      <w:proofErr w:type="gramStart"/>
      <w:r>
        <w:t xml:space="preserve">подпись)   </w:t>
      </w:r>
      <w:proofErr w:type="gramEnd"/>
      <w:r>
        <w:t xml:space="preserve"> (фамилия, имя,</w:t>
      </w:r>
    </w:p>
    <w:p w:rsidR="00865624" w:rsidRDefault="00865624">
      <w:pPr>
        <w:pStyle w:val="ConsPlusNonformat"/>
        <w:jc w:val="both"/>
      </w:pPr>
      <w:r>
        <w:t xml:space="preserve">                                   </w:t>
      </w:r>
      <w:proofErr w:type="gramStart"/>
      <w:r>
        <w:t xml:space="preserve">должности)   </w:t>
      </w:r>
      <w:proofErr w:type="gramEnd"/>
      <w:r>
        <w:t xml:space="preserve">            отчество - при</w:t>
      </w:r>
    </w:p>
    <w:p w:rsidR="00865624" w:rsidRDefault="00865624">
      <w:pPr>
        <w:pStyle w:val="ConsPlusNonformat"/>
        <w:jc w:val="both"/>
      </w:pPr>
      <w:r>
        <w:t xml:space="preserve">                                                             его наличии)</w:t>
      </w:r>
    </w:p>
    <w:p w:rsidR="00865624" w:rsidRDefault="00865624">
      <w:pPr>
        <w:pStyle w:val="ConsPlusNonformat"/>
        <w:jc w:val="both"/>
      </w:pPr>
      <w:r>
        <w:t>Исполнитель _____________ _________ __________________ ____________________</w:t>
      </w:r>
    </w:p>
    <w:p w:rsidR="00865624" w:rsidRDefault="00865624">
      <w:pPr>
        <w:pStyle w:val="ConsPlusNonformat"/>
        <w:jc w:val="both"/>
      </w:pPr>
      <w:r>
        <w:t xml:space="preserve">            (наименование (</w:t>
      </w:r>
      <w:proofErr w:type="gramStart"/>
      <w:r>
        <w:t xml:space="preserve">подпись)   </w:t>
      </w:r>
      <w:proofErr w:type="gramEnd"/>
      <w:r>
        <w:t>(фамилия, имя,    (абонентский номер</w:t>
      </w:r>
    </w:p>
    <w:p w:rsidR="00865624" w:rsidRDefault="00865624">
      <w:pPr>
        <w:pStyle w:val="ConsPlusNonformat"/>
        <w:jc w:val="both"/>
      </w:pPr>
      <w:r>
        <w:t xml:space="preserve">             </w:t>
      </w:r>
      <w:proofErr w:type="gramStart"/>
      <w:r>
        <w:t xml:space="preserve">должности)   </w:t>
      </w:r>
      <w:proofErr w:type="gramEnd"/>
      <w:r>
        <w:t xml:space="preserve">           отчество - при      телефонной связи)</w:t>
      </w:r>
    </w:p>
    <w:p w:rsidR="00865624" w:rsidRDefault="00865624">
      <w:pPr>
        <w:pStyle w:val="ConsPlusNonformat"/>
        <w:jc w:val="both"/>
      </w:pPr>
      <w:r>
        <w:t xml:space="preserve">                                       его наличии)</w:t>
      </w: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jc w:val="both"/>
      </w:pPr>
    </w:p>
    <w:p w:rsidR="00865624" w:rsidRDefault="00865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865624"/>
    <w:sectPr w:rsidR="00114264" w:rsidSect="000D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24"/>
    <w:rsid w:val="007A2FC1"/>
    <w:rsid w:val="00865624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51B7-F4A3-4196-87C5-0670865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E4146D2B0EC6D00E082FCE02CA7414D65596E80036D8E9E4C309BBBD3B572268F24202E0339C89A83DFDF2B889D61AAF7AG7S5N" TargetMode="External"/><Relationship Id="rId13" Type="http://schemas.openxmlformats.org/officeDocument/2006/relationships/hyperlink" Target="consultantplus://offline/ref=7BD3E4C9F01DE0B63567FA197B4750CCD5055224CE0EC62541890ECBBF093C8FBCABC247FEB524572076F84A0BGBS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E4146D2B0EC6D00E082FCE02C4771FD65596E80036D8E9E4C309BBBD3B57226CFE4B02E0339C89A83DFDF2B889D61AAF7AG7S5N" TargetMode="External"/><Relationship Id="rId12" Type="http://schemas.openxmlformats.org/officeDocument/2006/relationships/hyperlink" Target="consultantplus://offline/ref=7BD3E4C9F01DE0B63567E4146D2B0EC6D00E082FCE01CB701FD65596E80036D8E9E4C309BBBD3B572268FB4302E0339C89A83DFDF2B889D61AAF7AG7S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500532BCC00C62541890ECBBF093C8FAEAB9A4EF9B1325C7639BE1F04B567C6DCA722FAECBAG8SAN" TargetMode="External"/><Relationship Id="rId11" Type="http://schemas.openxmlformats.org/officeDocument/2006/relationships/hyperlink" Target="consultantplus://offline/ref=7BD3E4C9F01DE0B63567E4146D2B0EC6D00E082FCE01CB701FD65596E80036D8E9E4C309BBBD3B572268FB4D02E0339C89A83DFDF2B889D61AAF7AG7S5N" TargetMode="External"/><Relationship Id="rId5" Type="http://schemas.openxmlformats.org/officeDocument/2006/relationships/hyperlink" Target="consultantplus://offline/ref=7BD3E4C9F01DE0B63567E4146D2B0EC6D00E082FCE02CA7414D65596E80036D8E9E4C309BBBD3B572268F24202E0339C89A83DFDF2B889D61AAF7AG7S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D3E4C9F01DE0B63567E4146D2B0EC6D00E082FCE02CA7414D65596E80036D8E9E4C309BBBD3B572268F24202E0339C89A83DFDF2B889D61AAF7AG7S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D3E4C9F01DE0B63567E4146D2B0EC6D00E082FCE01CB701FD65596E80036D8E9E4C309BBBD3B572268FA4F02E0339C89A83DFDF2B889D61AAF7AG7S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2021-02-15T13:18:00Z</dcterms:created>
  <dcterms:modified xsi:type="dcterms:W3CDTF">2021-02-15T13:19:00Z</dcterms:modified>
</cp:coreProperties>
</file>