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E416F4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416F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>замещение</w:t>
      </w:r>
      <w:r w:rsidR="00B5405E" w:rsidRPr="00E416F4">
        <w:rPr>
          <w:rFonts w:ascii="PT Astra Serif" w:hAnsi="PT Astra Serif" w:cs="Times New Roman"/>
          <w:b/>
          <w:sz w:val="24"/>
          <w:szCs w:val="24"/>
        </w:rPr>
        <w:br/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 xml:space="preserve">вакантных </w:t>
      </w:r>
      <w:r w:rsidRPr="00E416F4">
        <w:rPr>
          <w:rFonts w:ascii="PT Astra Serif" w:hAnsi="PT Astra Serif" w:cs="Times New Roman"/>
          <w:b/>
          <w:sz w:val="24"/>
          <w:szCs w:val="24"/>
        </w:rPr>
        <w:t>должност</w:t>
      </w:r>
      <w:r w:rsidR="00FB6724" w:rsidRPr="00E416F4">
        <w:rPr>
          <w:rFonts w:ascii="PT Astra Serif" w:hAnsi="PT Astra Serif" w:cs="Times New Roman"/>
          <w:b/>
          <w:sz w:val="24"/>
          <w:szCs w:val="24"/>
        </w:rPr>
        <w:t>ей</w:t>
      </w:r>
      <w:r w:rsidRPr="00E416F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E416F4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и воспитания </w:t>
      </w:r>
      <w:r w:rsidRPr="00E416F4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E416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5C089C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E416F4" w:rsidP="00A80490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Референт</w:t>
            </w:r>
            <w:r w:rsidR="00A80490" w:rsidRPr="00E416F4">
              <w:rPr>
                <w:rFonts w:ascii="PT Astra Serif" w:hAnsi="PT Astra Serif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E416F4" w:rsidRDefault="00E416F4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специальности, направлению подготовки: направления укрупненных групп специальностей «Экономика и управление», «Юриспруденция»,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5C089C" w:rsidRPr="00E416F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C089C" w:rsidRPr="00E416F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E416F4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416F4" w:rsidRPr="00E416F4" w:rsidRDefault="00E416F4" w:rsidP="00E416F4">
            <w:pPr>
              <w:tabs>
                <w:tab w:val="left" w:pos="720"/>
              </w:tabs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416F4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E416F4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знаний: законодательства Российской Федерации в сфере организации бюджетного финансирования, учёта и отчётности, в сфере образования, а также ведомственные нормативные правовые акты в области профессиональной деятельности; организационных и экономических основ образования в Российской Федерации;  общие правила функционирования системы образования и осуществления образовательной деятельности; 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детей, среднего профессионального образования и высшего образования;  основные задачи и приоритеты развития государственной политики в сфере образования и молодёжной политики; порядок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формирования государственного задания в отношении областных государственных учреждений образования, в том числе подходы по определению нормативных затрат на оказание государственных услуг; ведомственная структура расходов областного бюджета в части сферы образования; программно-целевые методы формирования расходов областного бюджета в сфере образования; порядок применения показателей бюджетной классификации, по которым отражаются расходы областного бюджета на образование.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оперативной реализации управленческих и иных решений, 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документов на высоком  стилистическом уровне,  своевременного выявления и разрешения проблемных  ситуаций, приводящих к конфликту интересов.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функциональных знаний: понятие нормы права, нормативного правового акта, правоотношений и их признаки; 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 методы бюджетного планирования; принципы бюджетного учета и отчетности.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применения законодательства; подготовка обоснований 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органе; 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6.Должностные 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>обязанности: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обеспечивает своевременное и качественное выполнение возложенных функций; соблюдает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настоящий Порядок; соблюдает положения Кодекса этики и служебного поведения, принятого Министерством (администратором бюджетных средств) в соответствии со статьёй 13.3 Федерального закона от 25 декабря 2008 г. N 273-ФЗ "О противодействии коррупции"; своевременно сообщает руководителю субъекта внутреннего финансового аудита (Министру)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 использует информацию, полученную при осуществлении внутреннего финансового аудита, исключительно в целях исполнения должностных обязанностей; применяет основанный на результатах оценки бюджетных рисков (риск-ориентированный) подход при планировании и проведении аудиторских мероприятий; проводит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 обеспечивает получение достаточных аудиторских доказательств; формирует рабочую документацию аудиторского мероприятия; обеспечивает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принимает участие в подготовке заключений и годовой отчётности о результатах деятельности субъекта внутреннего финансового аудита; проводит контрольные мероприятия, выездные проверки, в том числе по обращениям граждан и по поручениям Министра просвещения и воспитания Ульяновской области; проводит консультирование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вопросам устранения выявленных нарушений и недостатков; готовит необходимую информацию в федеральные органы исполнительной власти, региональные исполнительные органы власти и органы статистики; организует проведение учёбы, семинаров-совещаний с работниками подведомственных учреждений образования и муниципальными органами управления образованием по финансовым вопросам, ревизий финансово-хозяйственной деятельности подведомственных организаций в соответствии со своим должностным регламентом; в пределах своих должностных обязанностей рассматривает обращения граждан, организаций, государственных органов, готовит по ним проект решения в порядке, установленном нормативно-правовыми актами; исполняет приказы, распоряжения вышестоящих в порядке подчинённости руководителей, отданные в пределах своих компетенций; анализирует исполнение бюджета по всем направлениям. Готовит предложения по устранению недостатков в расходовании средств; участвует в разработке нормативно-правовых актов; соблюдает установленный в Министерстве служебный распорядок, трудовую дисциплину, требования по охране и безопасности труда; поддерживает уровень квалификации, достаточный для исполнения своих должностных обязанностей; выполняет иные служебные поручения Министра; осуществляет внутренний финансовый аудит в отношении внутренних бюджетных процедур; </w:t>
            </w:r>
            <w:r w:rsidR="00E416F4" w:rsidRPr="00E416F4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</w:t>
            </w:r>
            <w:r w:rsidR="00E416F4" w:rsidRPr="00E416F4">
              <w:rPr>
                <w:rFonts w:ascii="PT Astra Serif" w:hAnsi="PT Astra Serif"/>
                <w:color w:val="000000"/>
                <w:sz w:val="24"/>
                <w:szCs w:val="24"/>
              </w:rPr>
              <w:t>Кодекс профессиональной этики государственных гражданских служащих Правительства Ульяновской области и органов исполнительной государственной власти Ульяновской области и Стандарт ведения телефонных разговоров.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E416F4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труда; своевременность выполнения поручений и рассмотрения обращений граждан и организаций,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E416F4" w:rsidRDefault="005C089C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E416F4" w:rsidRDefault="005C089C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Минимальный размер денежного содержания составляет 3</w:t>
            </w:r>
            <w:r w:rsidR="004148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5651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4148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="00E416F4"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4148C7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8C7" w:rsidRPr="00754AFE" w:rsidRDefault="004148C7" w:rsidP="004148C7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Референт департамента общего и </w:t>
            </w:r>
            <w:r w:rsidRPr="00754AFE">
              <w:rPr>
                <w:rFonts w:ascii="PT Astra Serif" w:hAnsi="PT Astra Serif"/>
                <w:sz w:val="24"/>
                <w:szCs w:val="24"/>
              </w:rPr>
              <w:lastRenderedPageBreak/>
              <w:t>дополнительного образования Министерства просвещения и воспитания Ульяновской области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8C7" w:rsidRPr="00754AFE" w:rsidRDefault="004148C7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A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1.Гражданство Российской Федерации </w:t>
            </w:r>
          </w:p>
          <w:p w:rsidR="004148C7" w:rsidRPr="00754AFE" w:rsidRDefault="004148C7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A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4148C7" w:rsidRPr="00754AFE" w:rsidRDefault="004148C7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A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4148C7" w:rsidRPr="00754AFE" w:rsidRDefault="004148C7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A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4. Уровень образования</w:t>
            </w:r>
          </w:p>
          <w:p w:rsidR="004148C7" w:rsidRPr="00754AFE" w:rsidRDefault="004148C7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 xml:space="preserve">Наличие высшего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профессионального педагогического 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образования, </w:t>
            </w:r>
            <w:r w:rsidRPr="00754AF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4148C7" w:rsidRPr="00754AFE" w:rsidRDefault="004148C7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4AFE" w:rsidRPr="00754AFE" w:rsidRDefault="004148C7" w:rsidP="00754A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4A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умения:</w:t>
            </w:r>
          </w:p>
          <w:p w:rsidR="00754AFE" w:rsidRPr="00754AFE" w:rsidRDefault="00754AFE" w:rsidP="00754A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ab/>
              <w:t>в области информационно-коммуникационных технологий.</w:t>
            </w:r>
          </w:p>
          <w:p w:rsidR="00754AFE" w:rsidRPr="00754AFE" w:rsidRDefault="00754AFE" w:rsidP="00754A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54AFE" w:rsidRPr="00754AFE" w:rsidRDefault="00754AFE" w:rsidP="00754AFE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754AFE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754AFE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754AFE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754AFE" w:rsidRPr="00754AFE" w:rsidRDefault="00754AFE" w:rsidP="00754A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>Наличие профессиональных знаний законодательства Российской Федерации: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знания федеральных законов, Указов Президента Российской Федерации, постановлений Правительства Российской Федерации, приказов Министерства образования и науки Российской Федерации, нормативно-правовых актов Ульяновской области, касающихся деятельности референта, Положения о Министерстве образования и науки Ульяновской области, департаменте общего образования, дополнительного образования и воспитания.</w:t>
            </w:r>
          </w:p>
          <w:p w:rsidR="00754AFE" w:rsidRPr="00754AFE" w:rsidRDefault="00754AFE" w:rsidP="00754A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>Наличие профессиональных умений</w:t>
            </w:r>
            <w:r w:rsidRPr="00754AFE">
              <w:rPr>
                <w:rFonts w:ascii="PT Astra Serif" w:hAnsi="PT Astra Serif"/>
                <w:sz w:val="24"/>
                <w:szCs w:val="24"/>
              </w:rPr>
              <w:t>: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организаторские способности;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способность грамотно и полно оценивать обстановку, оперативно принимать решения для достижения поставленных целей; свободное обобщение и анализ информации, умение работать с разнотипной информацией; возможность при необходимости увеличивать интенсивность работы и расширять объём используемой информации; умение разрабатывать проекты правовых актов и иных документов по реализации функций и задач, возложенных на структурное подразделение;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умение четко и грамотно излагать свои мысли в устной и письменной форме;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способность аргументировать, доказывать свою точку зрения; текущего и перспективного планирования и организации труда; обобщения и анализа информации, подготовки аналитических записок;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подготовки мероприятий (социально-значимые мероприятия, заседания, совещания и т.п.);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организация работы с подведомственными учреждениями, навыки по разрешению конфликта, ведения деловых переговоров и бесед, навыков деловой переписки в объеме, необходимом для выполнения должностных обязанностей;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составления и редактирования служебной </w:t>
            </w:r>
            <w:r w:rsidRPr="00754AFE">
              <w:rPr>
                <w:rFonts w:ascii="PT Astra Serif" w:hAnsi="PT Astra Serif"/>
                <w:sz w:val="24"/>
                <w:szCs w:val="24"/>
              </w:rPr>
              <w:lastRenderedPageBreak/>
              <w:t>документации на высоком стилистическом уровне;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умение планировать работу группы и осуществлять контр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о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ль качества и времени; умение создать доброжелательную рабочую атмосф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е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ру в руководимой группе; прин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и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мать взвешенные решения, оценивая возможные последствия; поддерживать и инициировать личностное развитие и обучение среди коллег;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готовность к обучению, профессиональной переподготовке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своевременно адаптироваться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 новым условиям деятельности.</w:t>
            </w:r>
          </w:p>
          <w:p w:rsidR="00754AFE" w:rsidRPr="00754AFE" w:rsidRDefault="00754AFE" w:rsidP="00754A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>Наличие функциональных знаний:</w:t>
            </w:r>
            <w:r w:rsidRPr="00754AFE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аличие знаний специфики отрасли «Образование», приоритетных направлений развития образования и воспитания в Российской Федерации; достижений современной психолого-педагогической науки и практики; теории и методов управления образовательными системами; современных педагогических технологий воспитания; специфики деятельности и структуры образовательной организации; основ финансово-хозяйственной деятельности образовательной организации; гражданское, административное, трудовое, бюджетное, законодательство в части, касающейся регулирования деятельности образовательных организаций; правил внутреннего трудового распорядка образовательной организации; правил по охране труда и пожарной безопасности</w:t>
            </w:r>
            <w:r w:rsidRPr="00754AF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54AFE" w:rsidRPr="00754AFE" w:rsidRDefault="00754AFE" w:rsidP="00754A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>Наличие функциональных умений</w:t>
            </w:r>
            <w:r w:rsidRPr="00754AFE">
              <w:rPr>
                <w:rFonts w:ascii="PT Astra Serif" w:hAnsi="PT Astra Serif"/>
                <w:sz w:val="24"/>
                <w:szCs w:val="24"/>
              </w:rPr>
              <w:t>: н</w:t>
            </w:r>
            <w:r w:rsidRPr="00754AFE">
              <w:rPr>
                <w:rFonts w:ascii="PT Astra Serif" w:hAnsi="PT Astra Serif"/>
                <w:sz w:val="24"/>
                <w:szCs w:val="24"/>
              </w:rPr>
              <w:t>аличие умений планирования: разработки планов, концепций в сфере образования и воспитания, анализа результатов деятельности общеобразовательных организаций, выработки рекомендаций по совершенствованию качества образования, организации конкурсных и иных мероприятий, направленных на повышение педагогического.</w:t>
            </w:r>
          </w:p>
          <w:p w:rsidR="00754AFE" w:rsidRPr="00754AFE" w:rsidRDefault="004148C7" w:rsidP="00754AF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sz w:val="24"/>
                <w:szCs w:val="24"/>
              </w:rPr>
              <w:t xml:space="preserve">6.Должностные обязанности: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участвует в реализации государственной программы Ульяновской области «Развитие и модернизация образования в Ульяновской области; участвует в разработке и реализации региональных программ развития образования и воспитания с учетом региональных социально-экономических, экологических, демографических, этнокультурных и других особенностей Ульяновской области, в соответствии с Законом Об образовании в Российской Федерации; участвует в разработке и реализации ведомственных и межведомственных программ</w:t>
            </w:r>
            <w:r w:rsidR="00754AFE" w:rsidRPr="00754AFE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 и планов, направленных на повышение эффективности образовательного и воспитательного компонентов в образовательных организациях;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взаимодействует органами местного самоуправления муниципальных районов и городских округов Ульяновской области, наделенными государственными полномочиями в сфере образования, в части создания благоприятных условий для воспитания учащихся образовательных организаций, в соответствии с положениями Стратегии</w:t>
            </w:r>
            <w:r w:rsidR="00754AFE" w:rsidRPr="00754AF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развития воспитания в Российской Федерации на </w:t>
            </w:r>
            <w:r w:rsidR="00754AFE" w:rsidRPr="00754AF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период до 2025 года,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 Планом </w:t>
            </w:r>
            <w:r w:rsidR="00754AFE" w:rsidRPr="00754AFE">
              <w:rPr>
                <w:rFonts w:ascii="PT Astra Serif" w:hAnsi="PT Astra Serif"/>
                <w:spacing w:val="3"/>
                <w:sz w:val="24"/>
                <w:szCs w:val="24"/>
              </w:rPr>
              <w:t>основных мероприятий до 2020 года, проводимых в рамках Десятилетия детства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, Концепцией семейной политики в Российской Федерации, иными программными документами, связанными с воспитанием детей, </w:t>
            </w:r>
            <w:r w:rsidR="00754AFE" w:rsidRPr="00754AF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посредством ведения мониторингов, анализа плановой и отчетной документации, выездных и документарных проверок, подготовки справок и предписаний по устранению выявленных нарушений, методических рекомендаций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; взаимодействует с научными организациями, общественными некоммерческими организациями в части организации совместных мероприятий, направленных на повышение качества воспитательного процесса в общеобразовательных организациях, воспитательного потенциала детских общественных организаций, в том числе посредством</w:t>
            </w:r>
            <w:r w:rsidR="00754AFE" w:rsidRPr="00754AF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разработки учебно-методической и иной документации, необходимой для деятельности образовательной организации, детской общественной организации</w:t>
            </w:r>
            <w:r w:rsidR="00754AFE" w:rsidRPr="00754AFE">
              <w:rPr>
                <w:rFonts w:ascii="PT Astra Serif" w:hAnsi="PT Astra Serif"/>
                <w:color w:val="202020"/>
                <w:sz w:val="24"/>
                <w:szCs w:val="24"/>
              </w:rPr>
              <w:t xml:space="preserve">;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вносит предложения директору департамента общего образования, дополнительного образования и воспитания по вопросам совершенствования системы воспитания детей, готовит по этим вопросам информационные материалы</w:t>
            </w:r>
            <w:r w:rsidR="00754AFE" w:rsidRPr="00754AFE">
              <w:rPr>
                <w:rFonts w:ascii="PT Astra Serif" w:hAnsi="PT Astra Serif"/>
                <w:color w:val="202020"/>
                <w:sz w:val="24"/>
                <w:szCs w:val="24"/>
              </w:rPr>
              <w:t>;</w:t>
            </w:r>
            <w:r w:rsidR="00754AFE" w:rsidRPr="00754A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готовит при формировании бюджета предложения о финансировании областных мероприятий, связанных с деятельностью общеобразовательных организаций,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детских общественных организаций, подведомственных учреждений</w:t>
            </w:r>
            <w:r w:rsidR="00754AFE" w:rsidRPr="00754AFE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4AFE" w:rsidRPr="00754A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участвует в планировании работы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департамента общего образования, дополнительного образования и воспитания </w:t>
            </w:r>
            <w:r w:rsidR="00754AFE" w:rsidRPr="00754A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со своей компетенцией;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 осуществляет прогноз конечных и промежуточных результатов работы департамента </w:t>
            </w:r>
            <w:r w:rsidR="00754AFE" w:rsidRPr="00754A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со своей компетенцией;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участвует в подготовке и проведении конференций, коллегий, семинаров, обучающих мероприятий, совещаний департамента по вопросам воспитания детей, развития ученического самоуправления и поддержки детских общественных организаций;  обеспечивает подготовку объективных и качественных материалов о деятельности органов управления образованием по курируемым направлениям в Федеральный орган исполнительной власти в сфере образования, Губернатору и в Правительство Ульяновской области, на коллегию Министерства образования и науки Ульяновской области, в другие учреждения и организации; участвует в организации и проведении областных социально-значимых мероприятий, направленных на воспитание детей; участвует в подготовке конкурсной документации мероприятий по различным направлениям воспитания детей; участвует в разработке нормативных документов, готовит проекты приказов, распоряжений, законов Министерства образования и науки Ульяновской области, Правительства Ульяновской области по основным направлениям деятельности; в пределах своих должностных обязанностей рассматривает обращения граждан, 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lastRenderedPageBreak/>
              <w:t>организаций, государственных органов, принимает по ним решения в порядке, установленном федеральными законами и законами Ульяновской области, и несёт ответственность за соблюдение порядка и сроков рассмотрения обращений; соблюдать нормы Кодекса профессиональной этики сотрудников Правительства Ульяновской области и исполнительных органов государственной власти, а также Стандарта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 ведения телефонных разговоров.</w:t>
            </w:r>
          </w:p>
          <w:p w:rsidR="00754AFE" w:rsidRDefault="004148C7" w:rsidP="00754AF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754AFE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4AFE" w:rsidRPr="00754AFE">
              <w:rPr>
                <w:rFonts w:ascii="PT Astra Serif" w:hAnsi="PT Astra Serif"/>
                <w:spacing w:val="-2"/>
                <w:sz w:val="24"/>
                <w:szCs w:val="24"/>
              </w:rPr>
              <w:t>своевременность выполнения поручений и рассмотрения обращений граждан и организаций, решения поставленных задач;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 xml:space="preserve"> высокий объём </w:t>
            </w:r>
            <w:r w:rsidR="00754AFE" w:rsidRPr="00754AFE">
              <w:rPr>
                <w:rFonts w:ascii="PT Astra Serif" w:hAnsi="PT Astra Serif"/>
                <w:spacing w:val="-1"/>
                <w:sz w:val="24"/>
                <w:szCs w:val="24"/>
              </w:rPr>
              <w:t>выполненной работы и интенсивность труда (количество разработанных проектов нормативных правовых актов, проведённых проверок, мероприятий);</w:t>
            </w:r>
            <w:r w:rsidR="00754AFE" w:rsidRPr="00754AFE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  <w:r w:rsidR="00754AFE" w:rsidRPr="00754AFE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="00754AFE" w:rsidRPr="00754AFE">
              <w:rPr>
                <w:rFonts w:ascii="PT Astra Serif" w:hAnsi="PT Astra Serif"/>
                <w:spacing w:val="-1"/>
                <w:sz w:val="24"/>
                <w:szCs w:val="24"/>
              </w:rPr>
              <w:t>с</w:t>
            </w:r>
            <w:r w:rsidR="00754AFE" w:rsidRPr="00754AFE">
              <w:rPr>
                <w:rFonts w:ascii="PT Astra Serif" w:hAnsi="PT Astra Serif"/>
                <w:sz w:val="24"/>
                <w:szCs w:val="24"/>
              </w:rPr>
              <w:t>облюдение сроков выполнения работы, установленных законодательством либо резолюциями руководителя; порядок в работе с документацией; уровень самостоятельности в принятии решений, входящих в компетенцию консультанта.</w:t>
            </w:r>
          </w:p>
          <w:p w:rsidR="00754AFE" w:rsidRPr="00754AFE" w:rsidRDefault="00754AFE" w:rsidP="00754AF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</w:p>
          <w:p w:rsidR="004148C7" w:rsidRPr="00754AFE" w:rsidRDefault="004148C7" w:rsidP="004148C7">
            <w:pPr>
              <w:rPr>
                <w:rFonts w:ascii="PT Astra Serif" w:hAnsi="PT Astra Serif"/>
                <w:sz w:val="24"/>
                <w:szCs w:val="24"/>
              </w:rPr>
            </w:pPr>
            <w:r w:rsidRPr="00754AF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35651,00 </w:t>
            </w:r>
            <w:proofErr w:type="spellStart"/>
            <w:r w:rsidRPr="00754AF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754AF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416F4" w:rsidRPr="00E416F4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E416F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1) Тестирование на знание: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законодательством Российской Федерации для поступления на государственную гражданскую службу и ее прохождения.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lastRenderedPageBreak/>
        <w:t>установить на компьютер программное обеспечение «Справка БК» с сайта «http://anticorrupt.ulgov.ru»).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E416F4" w:rsidRDefault="00ED4950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 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4148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="008F14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4148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52563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4148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лощадь Соборная, д.1, </w:t>
      </w:r>
      <w:proofErr w:type="spellStart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20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13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8F1446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A80490" w:rsidRPr="00E416F4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E416F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sectPr w:rsidR="00AD1ED4" w:rsidRPr="00E4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148C7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25634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54AFE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8F1446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0490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16F4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D4950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02F2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qFormat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8B88-6669-4E01-84FF-DD8FDCD5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100</cp:revision>
  <cp:lastPrinted>2016-08-09T12:39:00Z</cp:lastPrinted>
  <dcterms:created xsi:type="dcterms:W3CDTF">2017-03-23T11:46:00Z</dcterms:created>
  <dcterms:modified xsi:type="dcterms:W3CDTF">2023-01-31T11:05:00Z</dcterms:modified>
</cp:coreProperties>
</file>