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80E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2 сентября 2015 г. N 95-ЗО</w:t>
        </w:r>
        <w:r>
          <w:rPr>
            <w:rStyle w:val="a4"/>
            <w:b/>
            <w:bCs/>
          </w:rPr>
          <w:br/>
          <w:t xml:space="preserve">"О мерах государственной поддержки межрегиональных, </w:t>
        </w:r>
        <w:r>
          <w:rPr>
            <w:rStyle w:val="a4"/>
            <w:b/>
            <w:bCs/>
          </w:rPr>
          <w:t>региональных и местных молодёжных и детских общественных объединений в Ульяновской области"</w:t>
        </w:r>
      </w:hyperlink>
    </w:p>
    <w:p w:rsidR="00000000" w:rsidRDefault="00AE080E"/>
    <w:p w:rsidR="00000000" w:rsidRDefault="00AE080E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27 августа 2015 г. N 686/37-5</w:t>
      </w:r>
    </w:p>
    <w:p w:rsidR="00000000" w:rsidRDefault="00AE080E"/>
    <w:p w:rsidR="00000000" w:rsidRDefault="00AE080E">
      <w:pPr>
        <w:pStyle w:val="af2"/>
      </w:pPr>
      <w:bookmarkStart w:id="0" w:name="sub_1"/>
      <w:r>
        <w:rPr>
          <w:rStyle w:val="a3"/>
        </w:rPr>
        <w:t>Статья 1.</w:t>
      </w:r>
      <w:r>
        <w:t xml:space="preserve"> Предмет правового регулирования и сфера действия настоящего Закона</w:t>
      </w:r>
    </w:p>
    <w:p w:rsidR="00000000" w:rsidRDefault="00AE080E">
      <w:bookmarkStart w:id="1" w:name="sub_11"/>
      <w:bookmarkEnd w:id="0"/>
      <w:r>
        <w:t xml:space="preserve">1. Настоящий Закон в случаях и в пределах, предусмотренных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28 июня 1995 года N 98-ФЗ "О государственной поддержке молодёжн</w:t>
      </w:r>
      <w:r>
        <w:t>ых и детских общественных объединений" (далее - Федеральный закон "О государственной поддержке молодёжных и детских общественных объединений"), регулирует отношения, возникающие в связи с установлением и осуществлением исполнительными органами государствен</w:t>
      </w:r>
      <w:r>
        <w:t>ной власти Ульяновской области мер государственной поддержки межрегиональных, региональных и местных молодёжных и детских общественных объединений (далее также - молодёжные и детские объединения) в Ульяновской области.</w:t>
      </w:r>
    </w:p>
    <w:p w:rsidR="00000000" w:rsidRDefault="00AE080E">
      <w:bookmarkStart w:id="2" w:name="sub_12"/>
      <w:bookmarkEnd w:id="1"/>
      <w:r>
        <w:t>2. Иные отношения, в кото</w:t>
      </w:r>
      <w:r>
        <w:t xml:space="preserve">рые вступают молодёжные и детские объединения с федеральными органами исполнительной власти, исполнительными органами государственной власти Ульяновской области, юридическими лицами и гражданами, регулируются соответствующими нормативными правовыми актами </w:t>
      </w:r>
      <w:r>
        <w:t>Российской Федерации и нормативными правовыми актами Ульяновской области.</w:t>
      </w:r>
    </w:p>
    <w:p w:rsidR="00000000" w:rsidRDefault="00AE080E">
      <w:bookmarkStart w:id="3" w:name="sub_13"/>
      <w:bookmarkEnd w:id="2"/>
      <w:r>
        <w:t>3. Действие настоящего Закона не распространяется:</w:t>
      </w:r>
    </w:p>
    <w:p w:rsidR="00000000" w:rsidRDefault="00AE080E">
      <w:bookmarkStart w:id="4" w:name="sub_131"/>
      <w:bookmarkEnd w:id="3"/>
      <w:r>
        <w:t>1) на молодёжные и детские коммерческие организации;</w:t>
      </w:r>
    </w:p>
    <w:p w:rsidR="00000000" w:rsidRDefault="00AE080E">
      <w:bookmarkStart w:id="5" w:name="sub_132"/>
      <w:bookmarkEnd w:id="4"/>
      <w:r>
        <w:t xml:space="preserve">2) на молодёжные и детские религиозные </w:t>
      </w:r>
      <w:r>
        <w:t>организации;</w:t>
      </w:r>
    </w:p>
    <w:p w:rsidR="00000000" w:rsidRDefault="00AE080E">
      <w:bookmarkStart w:id="6" w:name="sub_133"/>
      <w:bookmarkEnd w:id="5"/>
      <w:r>
        <w:t>3) на молодёжные и студенческие объединения, являющиеся профессиональными союзами;</w:t>
      </w:r>
    </w:p>
    <w:p w:rsidR="00000000" w:rsidRDefault="00AE080E">
      <w:bookmarkStart w:id="7" w:name="sub_134"/>
      <w:bookmarkEnd w:id="6"/>
      <w:r>
        <w:t>4) на молодёжные и детские объединения, учреждаемые либо создаваемые политическими партиями.</w:t>
      </w:r>
    </w:p>
    <w:bookmarkEnd w:id="7"/>
    <w:p w:rsidR="00000000" w:rsidRDefault="00AE080E"/>
    <w:p w:rsidR="00000000" w:rsidRDefault="00AE080E">
      <w:pPr>
        <w:pStyle w:val="af2"/>
      </w:pPr>
      <w:bookmarkStart w:id="8" w:name="sub_2"/>
      <w:r>
        <w:rPr>
          <w:rStyle w:val="a3"/>
        </w:rPr>
        <w:t>Статья 2.</w:t>
      </w:r>
      <w:r>
        <w:t xml:space="preserve"> Государственная </w:t>
      </w:r>
      <w:r>
        <w:t>поддержка молодёжных и детских объединений</w:t>
      </w:r>
    </w:p>
    <w:bookmarkEnd w:id="8"/>
    <w:p w:rsidR="00000000" w:rsidRDefault="00AE080E">
      <w:r>
        <w:t xml:space="preserve">Под </w:t>
      </w:r>
      <w:r>
        <w:rPr>
          <w:rStyle w:val="a3"/>
        </w:rPr>
        <w:t>государственной поддержкой молодёжных и детских объединений в Ульяновской области</w:t>
      </w:r>
      <w:r>
        <w:t xml:space="preserve"> понимается совокупность мер, принимаемых исполнительными органами государственной власти Ульяновской области в соответстви</w:t>
      </w:r>
      <w:r>
        <w:t xml:space="preserve">и с законодательством Российской Федерации и законодательством Ульяновской области в сфере государственной молодёжной политики в целях создания и обеспечения правовых, экономических и организационных условий деятельности таких объединений, направленной на </w:t>
      </w:r>
      <w:r>
        <w:t>социальное становление, развитие и самореализацию детей и молодёжи в общественной жизни, а также в целях охраны и защиты их прав.</w:t>
      </w:r>
    </w:p>
    <w:p w:rsidR="00000000" w:rsidRDefault="00AE080E"/>
    <w:p w:rsidR="00000000" w:rsidRDefault="00AE080E">
      <w:pPr>
        <w:pStyle w:val="af2"/>
      </w:pPr>
      <w:bookmarkStart w:id="9" w:name="sub_3"/>
      <w:r>
        <w:rPr>
          <w:rStyle w:val="a3"/>
        </w:rPr>
        <w:t>Статья 3.</w:t>
      </w:r>
      <w:r>
        <w:t xml:space="preserve"> Принципы государственной поддержки молодёжных и детских объединений</w:t>
      </w:r>
    </w:p>
    <w:bookmarkEnd w:id="9"/>
    <w:p w:rsidR="00000000" w:rsidRDefault="00AE080E">
      <w:r>
        <w:t>Исходя из основных направлений госуда</w:t>
      </w:r>
      <w:r>
        <w:t>рственной молодёжной политики государственная поддержка молодёжных и детских объединений осуществляется в соответствии со следующими принципами:</w:t>
      </w:r>
    </w:p>
    <w:p w:rsidR="00000000" w:rsidRDefault="00AE080E">
      <w:r>
        <w:t xml:space="preserve">приоритет общих гуманистических и патриотических ценностей в деятельности </w:t>
      </w:r>
      <w:r>
        <w:lastRenderedPageBreak/>
        <w:t>молодёжных и детских объединений;</w:t>
      </w:r>
    </w:p>
    <w:p w:rsidR="00000000" w:rsidRDefault="00AE080E">
      <w:r>
        <w:t>рав</w:t>
      </w:r>
      <w:r>
        <w:t>енство прав на государственную поддержку молодёжных и детских объединений, отвечающих требованиям настоящего Закона;</w:t>
      </w:r>
    </w:p>
    <w:p w:rsidR="00000000" w:rsidRDefault="00AE080E">
      <w:r>
        <w:t>признание самостоятельности молодёжных и детских объединений и их права на участие в определении мер государственной поддержки.</w:t>
      </w:r>
    </w:p>
    <w:p w:rsidR="00000000" w:rsidRDefault="00AE080E">
      <w:r>
        <w:t>Меры госуда</w:t>
      </w:r>
      <w:r>
        <w:t>рственной поддержки молодёжных и детских объединений не могут быть использованы исполнительными органами государственной власти Ульяновской области и их должностными лицами против законных интересов молодёжных и детских объединений, а также в целях изменен</w:t>
      </w:r>
      <w:r>
        <w:t>ия характера их деятельности.</w:t>
      </w:r>
    </w:p>
    <w:p w:rsidR="00000000" w:rsidRDefault="00AE080E"/>
    <w:p w:rsidR="00000000" w:rsidRDefault="00AE080E">
      <w:pPr>
        <w:pStyle w:val="af2"/>
      </w:pPr>
      <w:bookmarkStart w:id="10" w:name="sub_4"/>
      <w:r>
        <w:rPr>
          <w:rStyle w:val="a3"/>
        </w:rPr>
        <w:t>Статья 4.</w:t>
      </w:r>
      <w:r>
        <w:t xml:space="preserve"> Молодёжные и детские объединения, являющиеся объектами государственной поддержки</w:t>
      </w:r>
    </w:p>
    <w:p w:rsidR="00000000" w:rsidRDefault="00AE080E">
      <w:bookmarkStart w:id="11" w:name="sub_41"/>
      <w:bookmarkEnd w:id="10"/>
      <w:r>
        <w:t xml:space="preserve">1. Государственная поддержка в соответствии с настоящим Законом оказывается зарегистрированным в установленном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поддержке молодёжных и детских общественных объединений" порядке:</w:t>
      </w:r>
    </w:p>
    <w:p w:rsidR="00000000" w:rsidRDefault="00AE080E">
      <w:bookmarkStart w:id="12" w:name="sub_411"/>
      <w:bookmarkEnd w:id="11"/>
      <w:r>
        <w:t>1) межрегиональным, региональным и местным молодёжным объединениям граждан в возрасте до 30 лет, объединившихс</w:t>
      </w:r>
      <w:r>
        <w:t>я на основе общности интересов;</w:t>
      </w:r>
    </w:p>
    <w:p w:rsidR="00000000" w:rsidRDefault="00AE080E">
      <w:bookmarkStart w:id="13" w:name="sub_412"/>
      <w:bookmarkEnd w:id="12"/>
      <w:r>
        <w:t>2) межрегиональным, региональным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000000" w:rsidRDefault="00AE080E">
      <w:bookmarkStart w:id="14" w:name="sub_42"/>
      <w:bookmarkEnd w:id="13"/>
      <w:r>
        <w:t>2. Государственная</w:t>
      </w:r>
      <w:r>
        <w:t xml:space="preserve"> поддержка молодёжных и детских объединений осуществляется при соблюдении ими следующих условий:</w:t>
      </w:r>
    </w:p>
    <w:p w:rsidR="00000000" w:rsidRDefault="00AE080E">
      <w:bookmarkStart w:id="15" w:name="sub_421"/>
      <w:bookmarkEnd w:id="14"/>
      <w:r>
        <w:t>1) объединение является юридическим лицом и действует не менее одного года с момента его государственной регистрации;</w:t>
      </w:r>
    </w:p>
    <w:p w:rsidR="00000000" w:rsidRDefault="00AE080E">
      <w:bookmarkStart w:id="16" w:name="sub_422"/>
      <w:bookmarkEnd w:id="15"/>
      <w:r>
        <w:t>2) в объединении насчитывается не менее 100 членов, либо заявленный таким объединением для финансового обеспечения за счёт бюджетных ассигнований областного бюджета Ульяновской области проект (программа) предусматривает предоставление социальных услуг не м</w:t>
      </w:r>
      <w:r>
        <w:t>енее чем 300 детям и (или) иным молодым гражданам.</w:t>
      </w:r>
    </w:p>
    <w:p w:rsidR="00000000" w:rsidRDefault="00AE080E">
      <w:bookmarkStart w:id="17" w:name="sub_43"/>
      <w:bookmarkEnd w:id="16"/>
      <w:r>
        <w:t>3. Соответствие обращающегося за государственной поддержкой молодёжного или детского объединения установленным настоящим Законом требованиям определяется исполнительным органом государственной</w:t>
      </w:r>
      <w:r>
        <w:t xml:space="preserve"> власти Ульяновской области, уполномоченным в сфере молодёжной политики (далее - уполномоченный орган).</w:t>
      </w:r>
    </w:p>
    <w:p w:rsidR="00000000" w:rsidRDefault="00AE080E">
      <w:bookmarkStart w:id="18" w:name="sub_44"/>
      <w:bookmarkEnd w:id="17"/>
      <w:r>
        <w:t>4. Объединение молодёжного или детского объединения в ассоциацию (союз) с другими молодёжными или детскими объединениями при сохранении им о</w:t>
      </w:r>
      <w:r>
        <w:t>рганизационной самостоятельности не может служить основанием для исключения его из числа объектов государственной поддержки.</w:t>
      </w:r>
    </w:p>
    <w:bookmarkEnd w:id="18"/>
    <w:p w:rsidR="00000000" w:rsidRDefault="00AE080E"/>
    <w:p w:rsidR="00000000" w:rsidRDefault="00AE080E">
      <w:pPr>
        <w:pStyle w:val="af2"/>
      </w:pPr>
      <w:bookmarkStart w:id="19" w:name="sub_5"/>
      <w:r>
        <w:rPr>
          <w:rStyle w:val="a3"/>
        </w:rPr>
        <w:t>Статья 5.</w:t>
      </w:r>
      <w:r>
        <w:t xml:space="preserve"> Права молодёжных и детских объединений</w:t>
      </w:r>
    </w:p>
    <w:p w:rsidR="00000000" w:rsidRDefault="00AE080E">
      <w:bookmarkStart w:id="20" w:name="sub_51"/>
      <w:bookmarkEnd w:id="19"/>
      <w:r>
        <w:t>1. Молодёжные и детские объединения имеют право:</w:t>
      </w:r>
    </w:p>
    <w:p w:rsidR="00000000" w:rsidRDefault="00AE080E">
      <w:bookmarkStart w:id="21" w:name="sub_511"/>
      <w:bookmarkEnd w:id="20"/>
      <w:r>
        <w:t>1) готовить и представлять Губернатору Ульяновской области и в Правительство Ульяновской области доклады о положении детей и молодёжи в Ульяновской области, участвовать в обсуждении докладов исполнительных органов государственной власти Ульяновской обла</w:t>
      </w:r>
      <w:r>
        <w:t>сти по указанным вопросам, а также вносить в уполномоченный орган предложения по вопросам реализации на территории Ульяновской области государственной молодёжной политики;</w:t>
      </w:r>
    </w:p>
    <w:p w:rsidR="00000000" w:rsidRDefault="00AE080E">
      <w:bookmarkStart w:id="22" w:name="sub_512"/>
      <w:bookmarkEnd w:id="21"/>
      <w:r>
        <w:t>2) вносить в государственные органы Ульяновской области, должностным л</w:t>
      </w:r>
      <w:r>
        <w:t xml:space="preserve">ицам государственных органов Ульяновской области, иным лицам, имеющим в соответствии с </w:t>
      </w:r>
      <w:hyperlink r:id="rId7" w:history="1">
        <w:r>
          <w:rPr>
            <w:rStyle w:val="a4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</w:t>
      </w:r>
      <w:r>
        <w:t xml:space="preserve">ы нормативных </w:t>
      </w:r>
      <w:r>
        <w:lastRenderedPageBreak/>
        <w:t>правовых актов Ульяновской области, предложения по изменению законов и иных нормативных правовых актов Ульяновской области, затрагивающих интересы детей и молодёжи;</w:t>
      </w:r>
    </w:p>
    <w:p w:rsidR="00000000" w:rsidRDefault="00AE080E">
      <w:bookmarkStart w:id="23" w:name="sub_513"/>
      <w:bookmarkEnd w:id="22"/>
      <w:r>
        <w:t>3) участвовать в устанавливаемом Правительством Ульяновской обл</w:t>
      </w:r>
      <w:r>
        <w:t>асти порядке в подготовке и обсуждении проектов государственных программ Ульяновской области по вопросам работы с детьми и молодёжью и вносить предложения о внесении в них изменений.</w:t>
      </w:r>
    </w:p>
    <w:p w:rsidR="00000000" w:rsidRDefault="00AE080E">
      <w:bookmarkStart w:id="24" w:name="sub_52"/>
      <w:bookmarkEnd w:id="23"/>
      <w:r>
        <w:t>2. Представители молодёжных и детских объединений, их коорди</w:t>
      </w:r>
      <w:r>
        <w:t>национных советов имеют право участвовать в заседаниях исполнительных органов государственной власти Ульяновской области при принятии ими решений по вопросам, затрагивающим интересы детей и молодёжи.</w:t>
      </w:r>
    </w:p>
    <w:bookmarkEnd w:id="24"/>
    <w:p w:rsidR="00000000" w:rsidRDefault="00AE080E"/>
    <w:p w:rsidR="00000000" w:rsidRDefault="00AE080E">
      <w:pPr>
        <w:pStyle w:val="af2"/>
      </w:pPr>
      <w:bookmarkStart w:id="25" w:name="sub_6"/>
      <w:r>
        <w:rPr>
          <w:rStyle w:val="a3"/>
        </w:rPr>
        <w:t>Статья 6.</w:t>
      </w:r>
      <w:r>
        <w:t xml:space="preserve"> Меры государственной поддержки мол</w:t>
      </w:r>
      <w:r>
        <w:t>одёжных и детских объединений</w:t>
      </w:r>
    </w:p>
    <w:p w:rsidR="00000000" w:rsidRDefault="00AE080E">
      <w:bookmarkStart w:id="26" w:name="sub_61"/>
      <w:bookmarkEnd w:id="25"/>
      <w:r>
        <w:t>1. Мерами государственной поддержки молодёжных и детских объединений являются:</w:t>
      </w:r>
    </w:p>
    <w:p w:rsidR="00000000" w:rsidRDefault="00AE080E">
      <w:bookmarkStart w:id="27" w:name="sub_611"/>
      <w:bookmarkEnd w:id="26"/>
      <w:r>
        <w:t>1) информационное и кадровое обеспечение молодёжных и детских объединений;</w:t>
      </w:r>
    </w:p>
    <w:p w:rsidR="00000000" w:rsidRDefault="00AE080E">
      <w:bookmarkStart w:id="28" w:name="sub_612"/>
      <w:bookmarkEnd w:id="27"/>
      <w:r>
        <w:t>2) государственная поддержка проек</w:t>
      </w:r>
      <w:r>
        <w:t>тов (программ) молодёжных и детских объединений.</w:t>
      </w:r>
    </w:p>
    <w:p w:rsidR="00000000" w:rsidRDefault="00AE080E">
      <w:bookmarkStart w:id="29" w:name="sub_62"/>
      <w:bookmarkEnd w:id="28"/>
      <w:r>
        <w:t>2. В целях информационного и кадрового обеспечения молодёжных и детских объединений уполномоченный орган в пределах своих полномочий:</w:t>
      </w:r>
    </w:p>
    <w:p w:rsidR="00000000" w:rsidRDefault="00AE080E">
      <w:bookmarkStart w:id="30" w:name="sub_621"/>
      <w:bookmarkEnd w:id="29"/>
      <w:r>
        <w:t>1) организует освещение в средствах массовой ин</w:t>
      </w:r>
      <w:r>
        <w:t>формации проектов (программ), реализуемых молодёжными и детскими объединениями;</w:t>
      </w:r>
    </w:p>
    <w:p w:rsidR="00000000" w:rsidRDefault="00AE080E">
      <w:bookmarkStart w:id="31" w:name="sub_622"/>
      <w:bookmarkEnd w:id="30"/>
      <w:r>
        <w:t xml:space="preserve">2) информирует молодёжные и детские объединения о планируемых и (или) проводимых исполнительными органами государственной власти Ульяновской области мероприятиях </w:t>
      </w:r>
      <w:r>
        <w:t>в сфере государственной молодёжной политики;</w:t>
      </w:r>
    </w:p>
    <w:p w:rsidR="00000000" w:rsidRDefault="00AE080E">
      <w:bookmarkStart w:id="32" w:name="sub_623"/>
      <w:bookmarkEnd w:id="31"/>
      <w:r>
        <w:t>3) организует подготовку (переподготовку) кадров молодёжных и детских объединений по их запросам.</w:t>
      </w:r>
    </w:p>
    <w:p w:rsidR="00000000" w:rsidRDefault="00AE080E">
      <w:bookmarkStart w:id="33" w:name="sub_63"/>
      <w:bookmarkEnd w:id="32"/>
      <w:r>
        <w:t>3. Меры государственной поддержки проектов (программ) молодёжных и детских объединений</w:t>
      </w:r>
      <w:r>
        <w:t xml:space="preserve"> предусматриваются в разделах (подпрограммах) государственных программ Ульяновской области по вопросам работы с детьми и молодёжью.</w:t>
      </w:r>
    </w:p>
    <w:p w:rsidR="00000000" w:rsidRDefault="00AE080E">
      <w:bookmarkStart w:id="34" w:name="sub_64"/>
      <w:bookmarkEnd w:id="33"/>
      <w:r>
        <w:t>4. Решение о государственной поддержке проектов (программ) молодёжных и детских объединений принимается уполномо</w:t>
      </w:r>
      <w:r>
        <w:t>ченным органом по результатам конкурса указанных проектов (программ).</w:t>
      </w:r>
    </w:p>
    <w:p w:rsidR="00000000" w:rsidRDefault="00AE080E">
      <w:bookmarkStart w:id="35" w:name="sub_65"/>
      <w:bookmarkEnd w:id="34"/>
      <w:r>
        <w:t>5. Представленные на конкурс проекты (программы) молодёжных и детских объединений должны отражать цель, основные задачи, содержание и план реализации соответствующих проектов</w:t>
      </w:r>
      <w:r>
        <w:t xml:space="preserve"> (программ), а также финансовые, материальные, кадровые ресурсы и организационные возможности молодёжных и детских объединений, связанные с реализацией таких проектов (программ).</w:t>
      </w:r>
    </w:p>
    <w:p w:rsidR="00000000" w:rsidRDefault="00AE080E">
      <w:bookmarkStart w:id="36" w:name="sub_66"/>
      <w:bookmarkEnd w:id="35"/>
      <w:r>
        <w:t>6. В целях проведения экспертизы представленных на конкурс проект</w:t>
      </w:r>
      <w:r>
        <w:t>ов (программ) молодёжных и детских объединений уполномоченным органом создаётся Областной экспертно-консультативный совет по проектам (программам) молодёжных и детских объединений (далее - Совет). Положение о Совете и его состав, а также порядок и методика</w:t>
      </w:r>
      <w:r>
        <w:t xml:space="preserve"> проведения Советом экспертизы представленных на конкурс проектов (программ) молодёжных и детских объединений утверждаются руководителем уполномоченного органа.</w:t>
      </w:r>
    </w:p>
    <w:bookmarkEnd w:id="36"/>
    <w:p w:rsidR="00000000" w:rsidRDefault="00AE080E">
      <w:r>
        <w:t>Совет осуществляет свою деятельность на общественных началах во взаимодействии с органами</w:t>
      </w:r>
      <w:r>
        <w:t xml:space="preserve"> государственной власти Ульяновской области, органами местного самоуправления муниципальных образований Ульяновской области, молодёжными и детскими объединениями, научными, образовательными и иными </w:t>
      </w:r>
      <w:r>
        <w:lastRenderedPageBreak/>
        <w:t>организациями.</w:t>
      </w:r>
    </w:p>
    <w:p w:rsidR="00000000" w:rsidRDefault="00AE080E"/>
    <w:p w:rsidR="00000000" w:rsidRDefault="00AE080E">
      <w:pPr>
        <w:pStyle w:val="af2"/>
      </w:pPr>
      <w:bookmarkStart w:id="37" w:name="sub_7"/>
      <w:r>
        <w:rPr>
          <w:rStyle w:val="a3"/>
        </w:rPr>
        <w:t>Статья 7.</w:t>
      </w:r>
      <w:r>
        <w:t xml:space="preserve"> Региональный реестр молодёж</w:t>
      </w:r>
      <w:r>
        <w:t>ных и детских объединений, пользующихся государственной поддержкой</w:t>
      </w:r>
    </w:p>
    <w:p w:rsidR="00000000" w:rsidRDefault="00AE080E">
      <w:bookmarkStart w:id="38" w:name="sub_71"/>
      <w:bookmarkEnd w:id="37"/>
      <w:r>
        <w:t>1. Уполномоченный орган формирует и ведёт региональный реестр молодёжных и детских объединений, пользующихся государственной поддержкой (далее также - региональный реестр), включ</w:t>
      </w:r>
      <w:r>
        <w:t>ающий в себя сведения о молодёжных и детских объединениях, в порядке, установленном уполномоченным органом с учётом положений настоящей статьи.</w:t>
      </w:r>
    </w:p>
    <w:p w:rsidR="00000000" w:rsidRDefault="00AE080E">
      <w:bookmarkStart w:id="39" w:name="sub_72"/>
      <w:bookmarkEnd w:id="38"/>
      <w:r>
        <w:t>2. Включение молодёжных и детских объединений в региональный реестр осуществляется бесплатно в течен</w:t>
      </w:r>
      <w:r>
        <w:t>ие одного месяца после представления ими письменного заявления и документов, подтверждающих соответствие молодёжного или детского объединения требованиям, установленным настоящим Законом.</w:t>
      </w:r>
    </w:p>
    <w:bookmarkEnd w:id="39"/>
    <w:p w:rsidR="00000000" w:rsidRDefault="00AE080E">
      <w:r>
        <w:t>Молодёжные и детские объединения, включённые в региональный ре</w:t>
      </w:r>
      <w:r>
        <w:t>естр, один раз в два года представляют в уполномоченный орган документы, подтверждающие соответствие молодёжного и детского объединения требованиям, установленным настоящим Законом.</w:t>
      </w:r>
    </w:p>
    <w:p w:rsidR="00000000" w:rsidRDefault="00AE080E">
      <w:r>
        <w:t>В случае, если документы, подтверждающие соблюдение требований, установленных настоящим Законом, не представлены молодёжным или детским объединением, уполномоченный орган в рамках межведомственного информационного взаимодействия направляет в федеральный ор</w:t>
      </w:r>
      <w:r>
        <w:t>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межведомственный запрос с просьбой представить в уполномоченный орган све</w:t>
      </w:r>
      <w:r>
        <w:t>дения о соответствии молодёжного или детского объединения требованиям, установленным настоящим Законом.</w:t>
      </w:r>
    </w:p>
    <w:p w:rsidR="00000000" w:rsidRDefault="00AE080E">
      <w:bookmarkStart w:id="40" w:name="sub_73"/>
      <w:r>
        <w:t>3. В региональный реестр включаются следующие сведения о молодёжном или детском объединении:</w:t>
      </w:r>
    </w:p>
    <w:p w:rsidR="00000000" w:rsidRDefault="00AE080E">
      <w:bookmarkStart w:id="41" w:name="sub_731"/>
      <w:bookmarkEnd w:id="40"/>
      <w:r>
        <w:t>1) полное и (если имеется) сокращённое н</w:t>
      </w:r>
      <w:r>
        <w:t>аименования молодёжного или детского объединения, адрес (место нахождения) его постоянно действующего руководящего органа;</w:t>
      </w:r>
    </w:p>
    <w:p w:rsidR="00000000" w:rsidRDefault="00AE080E">
      <w:bookmarkStart w:id="42" w:name="sub_732"/>
      <w:bookmarkEnd w:id="41"/>
      <w:r>
        <w:t>2) государственный регистрационный номер записи о государственной регистрации (основной государственный регистрационный</w:t>
      </w:r>
      <w:r>
        <w:t xml:space="preserve"> номер);</w:t>
      </w:r>
    </w:p>
    <w:p w:rsidR="00000000" w:rsidRDefault="00AE080E">
      <w:bookmarkStart w:id="43" w:name="sub_733"/>
      <w:bookmarkEnd w:id="42"/>
      <w:r>
        <w:t>3) идентификационный номер налогоплательщика;</w:t>
      </w:r>
    </w:p>
    <w:p w:rsidR="00000000" w:rsidRDefault="00AE080E">
      <w:bookmarkStart w:id="44" w:name="sub_734"/>
      <w:bookmarkEnd w:id="43"/>
      <w:r>
        <w:t>4) код причины постановки на учёт;</w:t>
      </w:r>
    </w:p>
    <w:p w:rsidR="00000000" w:rsidRDefault="00AE080E">
      <w:bookmarkStart w:id="45" w:name="sub_735"/>
      <w:bookmarkEnd w:id="44"/>
      <w:r>
        <w:t>5) регистрационный номер в Пенсионном фонде Российской Федерации;</w:t>
      </w:r>
    </w:p>
    <w:p w:rsidR="00000000" w:rsidRDefault="00AE080E">
      <w:bookmarkStart w:id="46" w:name="sub_736"/>
      <w:bookmarkEnd w:id="45"/>
      <w:r>
        <w:t>6) численность членов молодёжного или детско</w:t>
      </w:r>
      <w:r>
        <w:t>го объединения;</w:t>
      </w:r>
    </w:p>
    <w:p w:rsidR="00000000" w:rsidRDefault="00AE080E">
      <w:bookmarkStart w:id="47" w:name="sub_737"/>
      <w:bookmarkEnd w:id="46"/>
      <w:r>
        <w:t>7) цель создания и деятельности молодёжного или детского объединения в соответствии с его уставом;</w:t>
      </w:r>
    </w:p>
    <w:p w:rsidR="00000000" w:rsidRDefault="00AE080E">
      <w:bookmarkStart w:id="48" w:name="sub_738"/>
      <w:bookmarkEnd w:id="47"/>
      <w:r>
        <w:t>8) информация о видах деятельности, осуществляемых молодёжным или детским объединением;</w:t>
      </w:r>
    </w:p>
    <w:p w:rsidR="00000000" w:rsidRDefault="00AE080E">
      <w:bookmarkStart w:id="49" w:name="sub_739"/>
      <w:bookmarkEnd w:id="48"/>
      <w:r>
        <w:t>9) дата вкл</w:t>
      </w:r>
      <w:r>
        <w:t>ючения молодёжного или детского объединения в региональный реестр;</w:t>
      </w:r>
    </w:p>
    <w:p w:rsidR="00000000" w:rsidRDefault="00AE080E">
      <w:bookmarkStart w:id="50" w:name="sub_7310"/>
      <w:bookmarkEnd w:id="49"/>
      <w:r>
        <w:t>10) дата и основание исключения молодёжного или детского объединения из регионального реестра.</w:t>
      </w:r>
    </w:p>
    <w:p w:rsidR="00000000" w:rsidRDefault="00AE080E">
      <w:bookmarkStart w:id="51" w:name="sub_74"/>
      <w:bookmarkEnd w:id="50"/>
      <w:r>
        <w:t xml:space="preserve">4. Молодёжное или детское объединение, включённое в региональный </w:t>
      </w:r>
      <w:r>
        <w:t>реестр, исключается из указанного реестра на основании:</w:t>
      </w:r>
    </w:p>
    <w:p w:rsidR="00000000" w:rsidRDefault="00AE080E">
      <w:bookmarkStart w:id="52" w:name="sub_741"/>
      <w:bookmarkEnd w:id="51"/>
      <w:r>
        <w:t>1) письменного заявления молодёжного или детского объединения;</w:t>
      </w:r>
    </w:p>
    <w:p w:rsidR="00000000" w:rsidRDefault="00AE080E">
      <w:bookmarkStart w:id="53" w:name="sub_742"/>
      <w:bookmarkEnd w:id="52"/>
      <w:r>
        <w:t>2) решения уполномоченного органа при выявлении несоответствия молодёжного или детского объединения требования</w:t>
      </w:r>
      <w:r>
        <w:t>м, установленным настоящим Законом.</w:t>
      </w:r>
    </w:p>
    <w:p w:rsidR="00000000" w:rsidRDefault="00AE080E">
      <w:bookmarkStart w:id="54" w:name="sub_75"/>
      <w:bookmarkEnd w:id="53"/>
      <w:r>
        <w:lastRenderedPageBreak/>
        <w:t>5. Уполномоченный орган в течение пяти рабочих дней со дня принятия решения об исключении молодёжного или детского объединения из регионального реестра уведомляет в письменной форме такое объединение о приня</w:t>
      </w:r>
      <w:r>
        <w:t>том решении.</w:t>
      </w:r>
    </w:p>
    <w:p w:rsidR="00000000" w:rsidRDefault="00AE080E">
      <w:bookmarkStart w:id="55" w:name="sub_76"/>
      <w:bookmarkEnd w:id="54"/>
      <w:r>
        <w:t xml:space="preserve">6. Информация, содержащаяся в региональном реестре, является общедоступной и предоставляется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9 февраля 2009 года N 8-ФЗ "Об обеспечении доступа к информации о</w:t>
      </w:r>
      <w:r>
        <w:t xml:space="preserve"> деятельности государственных органов и органов местного самоуправления".</w:t>
      </w:r>
    </w:p>
    <w:p w:rsidR="00000000" w:rsidRDefault="00AE080E">
      <w:bookmarkStart w:id="56" w:name="sub_77"/>
      <w:bookmarkEnd w:id="55"/>
      <w:r>
        <w:t>7. В соответствии с Федеральным законом "О государственной поддержке молодёжных и детских общественных объединений" уполномоченный орган ежеквартально представляет в феде</w:t>
      </w:r>
      <w:r>
        <w:t xml:space="preserve">ральный орган исполнительной власти по реализаций государственной молодёжной политики указанные в </w:t>
      </w:r>
      <w:hyperlink r:id="rId9" w:history="1">
        <w:r>
          <w:rPr>
            <w:rStyle w:val="a4"/>
          </w:rPr>
          <w:t>подпунктах 1-8 пункта 3 статьи 13</w:t>
        </w:r>
      </w:hyperlink>
      <w:r>
        <w:t xml:space="preserve"> Федерального закона "О государственной поддержке молодёжных и детских общественных объедин</w:t>
      </w:r>
      <w:r>
        <w:t>ений" сведения об объединениях, включённых в региональный реестр.</w:t>
      </w:r>
    </w:p>
    <w:bookmarkEnd w:id="56"/>
    <w:p w:rsidR="00000000" w:rsidRDefault="00AE080E"/>
    <w:p w:rsidR="00000000" w:rsidRDefault="00AE080E">
      <w:pPr>
        <w:pStyle w:val="af2"/>
      </w:pPr>
      <w:bookmarkStart w:id="57" w:name="sub_8"/>
      <w:r>
        <w:rPr>
          <w:rStyle w:val="a3"/>
        </w:rPr>
        <w:t>Статья 8.</w:t>
      </w:r>
      <w:r>
        <w:t xml:space="preserve"> Финансовое обеспечение расходных обязательств, связанных с исполнением настоящего Закона</w:t>
      </w:r>
    </w:p>
    <w:bookmarkEnd w:id="57"/>
    <w:p w:rsidR="00000000" w:rsidRDefault="00AE080E">
      <w:r>
        <w:t>Финансовое обеспечение расходных обязательств, связанных с исполнением нас</w:t>
      </w:r>
      <w:r>
        <w:t xml:space="preserve">тоящего Закона, осуществляется в пределах бюджетных ассигнований областного бюджета Ульяновской области, предусмотренных на соответствующие цели в </w:t>
      </w:r>
      <w:hyperlink r:id="rId10" w:history="1">
        <w:r>
          <w:rPr>
            <w:rStyle w:val="a4"/>
          </w:rPr>
          <w:t>законе</w:t>
        </w:r>
      </w:hyperlink>
      <w:r>
        <w:t xml:space="preserve"> Ульяновской области об областном бюджете Ульяновской области на со</w:t>
      </w:r>
      <w:r>
        <w:t>ответствующий финансовый год и плановый период.</w:t>
      </w:r>
    </w:p>
    <w:p w:rsidR="00000000" w:rsidRDefault="00AE080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E080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080E" w:rsidRDefault="00AE080E">
            <w:pPr>
              <w:pStyle w:val="afff0"/>
              <w:rPr>
                <w:rFonts w:eastAsiaTheme="minorEastAsia"/>
              </w:rPr>
            </w:pPr>
            <w:r w:rsidRPr="00AE080E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080E" w:rsidRDefault="00AE080E">
            <w:pPr>
              <w:pStyle w:val="aff7"/>
              <w:jc w:val="right"/>
              <w:rPr>
                <w:rFonts w:eastAsiaTheme="minorEastAsia"/>
              </w:rPr>
            </w:pPr>
            <w:r w:rsidRPr="00AE080E">
              <w:rPr>
                <w:rFonts w:eastAsiaTheme="minorEastAsia"/>
              </w:rPr>
              <w:t>С.И. Морозов</w:t>
            </w:r>
          </w:p>
        </w:tc>
      </w:tr>
    </w:tbl>
    <w:p w:rsidR="00000000" w:rsidRDefault="00AE080E"/>
    <w:p w:rsidR="00000000" w:rsidRDefault="00AE080E">
      <w:pPr>
        <w:pStyle w:val="afff0"/>
      </w:pPr>
      <w:r>
        <w:t>г. Ульяновск</w:t>
      </w:r>
    </w:p>
    <w:p w:rsidR="00000000" w:rsidRDefault="00AE080E">
      <w:pPr>
        <w:pStyle w:val="afff0"/>
      </w:pPr>
      <w:r>
        <w:t>"02" сентября 2015 года</w:t>
      </w:r>
    </w:p>
    <w:p w:rsidR="00AE080E" w:rsidRDefault="00AE080E">
      <w:pPr>
        <w:pStyle w:val="afff0"/>
      </w:pPr>
      <w:r>
        <w:t>N 95-ЗО</w:t>
      </w:r>
    </w:p>
    <w:sectPr w:rsidR="00AE08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DF"/>
    <w:rsid w:val="00AE080E"/>
    <w:rsid w:val="00DC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520923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44.7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544.0" TargetMode="External"/><Relationship Id="rId10" Type="http://schemas.openxmlformats.org/officeDocument/2006/relationships/hyperlink" Target="garantF1://15239734.0" TargetMode="External"/><Relationship Id="rId4" Type="http://schemas.openxmlformats.org/officeDocument/2006/relationships/hyperlink" Target="garantF1://15251010.0" TargetMode="External"/><Relationship Id="rId9" Type="http://schemas.openxmlformats.org/officeDocument/2006/relationships/hyperlink" Target="garantF1://3544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11484</Characters>
  <Application>Microsoft Office Word</Application>
  <DocSecurity>0</DocSecurity>
  <Lines>95</Lines>
  <Paragraphs>26</Paragraphs>
  <ScaleCrop>false</ScaleCrop>
  <Company>НПП "Гарант-Сервис"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2015-12-23T14:58:00Z</dcterms:created>
  <dcterms:modified xsi:type="dcterms:W3CDTF">2015-12-23T14:58:00Z</dcterms:modified>
</cp:coreProperties>
</file>