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97" w:rsidRPr="00C038D4" w:rsidRDefault="00A46A97" w:rsidP="00C038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8D4">
        <w:rPr>
          <w:rFonts w:ascii="Times New Roman" w:hAnsi="Times New Roman" w:cs="Times New Roman"/>
          <w:b/>
          <w:bCs/>
          <w:sz w:val="28"/>
          <w:szCs w:val="28"/>
        </w:rPr>
        <w:t xml:space="preserve">Отчет о ходе реализации и оценки </w:t>
      </w:r>
      <w:proofErr w:type="gramStart"/>
      <w:r w:rsidRPr="00C038D4">
        <w:rPr>
          <w:rFonts w:ascii="Times New Roman" w:hAnsi="Times New Roman" w:cs="Times New Roman"/>
          <w:b/>
          <w:bCs/>
          <w:sz w:val="28"/>
          <w:szCs w:val="28"/>
        </w:rPr>
        <w:t>эффективности  реализации</w:t>
      </w:r>
      <w:proofErr w:type="gramEnd"/>
      <w:r w:rsidRPr="00C038D4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программы Ульяновской области «Развитие и модернизация образования в Ульяновской области» на 2014-2020 годы за 2017 год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46A97" w:rsidRPr="00C038D4" w:rsidRDefault="00A46A97" w:rsidP="00C038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6A97" w:rsidRPr="00C038D4" w:rsidRDefault="00A46A97" w:rsidP="00C038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8D4">
        <w:rPr>
          <w:rFonts w:ascii="Times New Roman" w:hAnsi="Times New Roman" w:cs="Times New Roman"/>
          <w:sz w:val="28"/>
          <w:szCs w:val="28"/>
        </w:rPr>
        <w:t>Государственная программа Ульяновской области «Развитие и модернизация образования в Ульяновской области» на 2014-2020 годы (далее – государственная программа) утверждена постановлением Правительства Ульяновской области от 11.09.2013 № 37/407-П "Об утверждении государственной программы Ульяновской области "Развитие и модернизация образования в Ульяновской области" на 2014-2020 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38D4">
        <w:rPr>
          <w:rFonts w:ascii="Times New Roman" w:hAnsi="Times New Roman" w:cs="Times New Roman"/>
          <w:sz w:val="28"/>
          <w:szCs w:val="28"/>
        </w:rPr>
        <w:t>.</w:t>
      </w:r>
    </w:p>
    <w:p w:rsidR="00A46A97" w:rsidRPr="00C038D4" w:rsidRDefault="00A46A97" w:rsidP="00C038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8D4">
        <w:rPr>
          <w:rFonts w:ascii="Times New Roman" w:hAnsi="Times New Roman" w:cs="Times New Roman"/>
          <w:sz w:val="28"/>
          <w:szCs w:val="28"/>
        </w:rPr>
        <w:t>Реализация мероприятий государственной программы в 2017 году позволила достичь цели и решить задачи по комплексному и эффективному развитию системы образования в Ульяновской области, обеспечивающей повышение качества образования, текущие и перспективные потребности социально-экономического развития Ульяновской области.</w:t>
      </w:r>
    </w:p>
    <w:p w:rsidR="00A46A97" w:rsidRPr="00C038D4" w:rsidRDefault="00A46A97" w:rsidP="00C038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8D4">
        <w:rPr>
          <w:rFonts w:ascii="Times New Roman" w:hAnsi="Times New Roman" w:cs="Times New Roman"/>
          <w:sz w:val="28"/>
          <w:szCs w:val="28"/>
        </w:rPr>
        <w:t>Выполнение мероприятий государственной программы, направленных на осуществление переданных органам государственной власти субъектов РФ в соответствии с частью 1 статьи 7 ФЗ «Об образовании в РФ» полномочий РФ в сфере образования, обеспечило государственные гарантии реализации прав на получение общедоступного и бесплатного общего образования, среднего профессионального образования и дополнительного образования детей. Продолжилась работа по модернизации образовательных программ общего, среднего профессионального образования и дополнительного образования детей, формированию независимой оценки качества образования.</w:t>
      </w:r>
    </w:p>
    <w:p w:rsidR="00A46A97" w:rsidRDefault="00A46A97" w:rsidP="00C038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8D4">
        <w:rPr>
          <w:rFonts w:ascii="Times New Roman" w:hAnsi="Times New Roman" w:cs="Times New Roman"/>
          <w:sz w:val="28"/>
          <w:szCs w:val="28"/>
        </w:rPr>
        <w:t xml:space="preserve">На реализацию мероприятий государственной программы Ульяновской области «Развитие и модернизация образования в Ульяновской области» на 2014-2020 годы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038D4">
        <w:rPr>
          <w:rFonts w:ascii="Times New Roman" w:hAnsi="Times New Roman" w:cs="Times New Roman"/>
          <w:sz w:val="28"/>
          <w:szCs w:val="28"/>
        </w:rPr>
        <w:t xml:space="preserve"> 2017 год в соответствии с Постановлением Правительства Ульяновской области от 11 сентября 2013 г</w:t>
      </w:r>
      <w:r>
        <w:rPr>
          <w:rFonts w:ascii="Times New Roman" w:hAnsi="Times New Roman" w:cs="Times New Roman"/>
          <w:sz w:val="28"/>
          <w:szCs w:val="28"/>
        </w:rPr>
        <w:t>. N 37/407-П «</w:t>
      </w:r>
      <w:r w:rsidRPr="00C038D4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Ульяновской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38D4">
        <w:rPr>
          <w:rFonts w:ascii="Times New Roman" w:hAnsi="Times New Roman" w:cs="Times New Roman"/>
          <w:sz w:val="28"/>
          <w:szCs w:val="28"/>
        </w:rPr>
        <w:t>Развитие и модернизация образования в Ульяновской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38D4">
        <w:rPr>
          <w:rFonts w:ascii="Times New Roman" w:hAnsi="Times New Roman" w:cs="Times New Roman"/>
          <w:sz w:val="28"/>
          <w:szCs w:val="28"/>
        </w:rPr>
        <w:t xml:space="preserve"> на 2014-2020 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38D4">
        <w:rPr>
          <w:rFonts w:ascii="Times New Roman" w:hAnsi="Times New Roman" w:cs="Times New Roman"/>
          <w:sz w:val="28"/>
          <w:szCs w:val="28"/>
        </w:rPr>
        <w:t xml:space="preserve"> утверждены объемы средств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8D4">
        <w:rPr>
          <w:rFonts w:ascii="Times New Roman" w:hAnsi="Times New Roman" w:cs="Times New Roman"/>
          <w:sz w:val="28"/>
          <w:szCs w:val="28"/>
        </w:rPr>
        <w:t>всего 11 905 224,47495 тыс. рублей, в том числе: средства федерального бюджета –  367 655,</w:t>
      </w:r>
      <w:proofErr w:type="gramStart"/>
      <w:r w:rsidRPr="00C038D4">
        <w:rPr>
          <w:rFonts w:ascii="Times New Roman" w:hAnsi="Times New Roman" w:cs="Times New Roman"/>
          <w:sz w:val="28"/>
          <w:szCs w:val="28"/>
        </w:rPr>
        <w:t>8  тыс.</w:t>
      </w:r>
      <w:proofErr w:type="gramEnd"/>
      <w:r w:rsidRPr="00C038D4">
        <w:rPr>
          <w:rFonts w:ascii="Times New Roman" w:hAnsi="Times New Roman" w:cs="Times New Roman"/>
          <w:sz w:val="28"/>
          <w:szCs w:val="28"/>
        </w:rPr>
        <w:t xml:space="preserve"> рублей, средства областного бюджета – 11 537 568,67495 тыс. рублей. </w:t>
      </w:r>
    </w:p>
    <w:p w:rsidR="00A46A97" w:rsidRPr="00C038D4" w:rsidRDefault="00A46A97" w:rsidP="00C038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8D4">
        <w:rPr>
          <w:rFonts w:ascii="Times New Roman" w:hAnsi="Times New Roman" w:cs="Times New Roman"/>
          <w:sz w:val="28"/>
          <w:szCs w:val="28"/>
        </w:rPr>
        <w:t xml:space="preserve">В виду того, что Соглашение от 16.02.2017 № 074-08-462 между  Министерством образования и науки РФ и Правительством Ульяновской области «О предоставлении субсидии из федерального бюджета бюджету Ульяновской области на </w:t>
      </w:r>
      <w:proofErr w:type="spellStart"/>
      <w:r w:rsidRPr="00C038D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038D4">
        <w:rPr>
          <w:rFonts w:ascii="Times New Roman" w:hAnsi="Times New Roman" w:cs="Times New Roman"/>
          <w:sz w:val="28"/>
          <w:szCs w:val="28"/>
        </w:rPr>
        <w:t xml:space="preserve"> расходов, возникающих при реализации государствен</w:t>
      </w:r>
      <w:r>
        <w:rPr>
          <w:rFonts w:ascii="Times New Roman" w:hAnsi="Times New Roman" w:cs="Times New Roman"/>
          <w:sz w:val="28"/>
          <w:szCs w:val="28"/>
        </w:rPr>
        <w:t>ных программ субъектов РФ</w:t>
      </w:r>
      <w:r w:rsidRPr="00C038D4">
        <w:rPr>
          <w:rFonts w:ascii="Times New Roman" w:hAnsi="Times New Roman" w:cs="Times New Roman"/>
          <w:sz w:val="28"/>
          <w:szCs w:val="28"/>
        </w:rPr>
        <w:t>, на реализацию мероприятий по содей</w:t>
      </w:r>
      <w:r w:rsidRPr="00C038D4">
        <w:rPr>
          <w:rFonts w:ascii="Times New Roman" w:hAnsi="Times New Roman" w:cs="Times New Roman"/>
          <w:sz w:val="28"/>
          <w:szCs w:val="28"/>
        </w:rPr>
        <w:lastRenderedPageBreak/>
        <w:t>ствию созданию в суб</w:t>
      </w:r>
      <w:r>
        <w:rPr>
          <w:rFonts w:ascii="Times New Roman" w:hAnsi="Times New Roman" w:cs="Times New Roman"/>
          <w:sz w:val="28"/>
          <w:szCs w:val="28"/>
        </w:rPr>
        <w:t>ъ</w:t>
      </w:r>
      <w:r w:rsidRPr="00C038D4">
        <w:rPr>
          <w:rFonts w:ascii="Times New Roman" w:hAnsi="Times New Roman" w:cs="Times New Roman"/>
          <w:sz w:val="28"/>
          <w:szCs w:val="28"/>
        </w:rPr>
        <w:t>ектах РФ (исходя из прогнозируемой потребности) новых мест в общеобразовательных организациях в рамках подпрограммы «Развитие дошкольного, общего и дополнительного образования детей» государственной программы РФ «Развитие образования» на 2013-2020 годы» расторгнуто (Дополнительное Соглашение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4">
        <w:rPr>
          <w:rFonts w:ascii="Times New Roman" w:hAnsi="Times New Roman" w:cs="Times New Roman"/>
          <w:sz w:val="28"/>
          <w:szCs w:val="28"/>
        </w:rPr>
        <w:t xml:space="preserve">18.08.2017 № 074-08-462/3) и средства из федерального бюджета в размере 217583,0 тыс. рублей не </w:t>
      </w:r>
      <w:r>
        <w:rPr>
          <w:rFonts w:ascii="Times New Roman" w:hAnsi="Times New Roman" w:cs="Times New Roman"/>
          <w:sz w:val="28"/>
          <w:szCs w:val="28"/>
        </w:rPr>
        <w:t xml:space="preserve">планировались к </w:t>
      </w:r>
      <w:r w:rsidRPr="00C038D4">
        <w:rPr>
          <w:rFonts w:ascii="Times New Roman" w:hAnsi="Times New Roman" w:cs="Times New Roman"/>
          <w:sz w:val="28"/>
          <w:szCs w:val="28"/>
        </w:rPr>
        <w:t>поступ</w:t>
      </w:r>
      <w:r>
        <w:rPr>
          <w:rFonts w:ascii="Times New Roman" w:hAnsi="Times New Roman" w:cs="Times New Roman"/>
          <w:sz w:val="28"/>
          <w:szCs w:val="28"/>
        </w:rPr>
        <w:t>лению в 2017 году</w:t>
      </w:r>
      <w:r w:rsidRPr="00C038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38D4">
        <w:rPr>
          <w:rFonts w:ascii="Times New Roman" w:hAnsi="Times New Roman" w:cs="Times New Roman"/>
          <w:sz w:val="28"/>
          <w:szCs w:val="28"/>
        </w:rPr>
        <w:t>лан-график реализации государственной программы утверждён за исключением вышеуказанных средств.</w:t>
      </w:r>
    </w:p>
    <w:p w:rsidR="00A46A97" w:rsidRPr="00C038D4" w:rsidRDefault="00A46A97" w:rsidP="00C038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8D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38D4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038D4">
        <w:rPr>
          <w:rFonts w:ascii="Times New Roman" w:hAnsi="Times New Roman" w:cs="Times New Roman"/>
          <w:sz w:val="28"/>
          <w:szCs w:val="28"/>
        </w:rPr>
        <w:t>-графиком, утверждённым распоряжением Министерства образования и науки Ульяновской области от 14.12.2017</w:t>
      </w:r>
      <w:r w:rsidRPr="00C038D4">
        <w:rPr>
          <w:rFonts w:ascii="Times New Roman" w:hAnsi="Times New Roman" w:cs="Times New Roman"/>
          <w:sz w:val="28"/>
          <w:szCs w:val="28"/>
        </w:rPr>
        <w:br/>
        <w:t>№2369-р «О внесении изменений в распоряжение Министерства образования и науки Ульяновской области от 31.08.2017 № 1682-р» в 2017 году запланированы средства для финансирования мероприятий в объёме 11 687 641</w:t>
      </w:r>
      <w:r>
        <w:rPr>
          <w:rFonts w:ascii="Times New Roman" w:hAnsi="Times New Roman" w:cs="Times New Roman"/>
          <w:sz w:val="28"/>
          <w:szCs w:val="28"/>
        </w:rPr>
        <w:t>,47495 тыс. рублей</w:t>
      </w:r>
      <w:r w:rsidRPr="00C038D4">
        <w:rPr>
          <w:rFonts w:ascii="Times New Roman" w:hAnsi="Times New Roman" w:cs="Times New Roman"/>
          <w:sz w:val="28"/>
          <w:szCs w:val="28"/>
        </w:rPr>
        <w:t xml:space="preserve">, в том числе 150 072,8 тыс. рублей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8D4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и 11 537 568,67495 тыс. рублей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8D4">
        <w:rPr>
          <w:rFonts w:ascii="Times New Roman" w:hAnsi="Times New Roman" w:cs="Times New Roman"/>
          <w:sz w:val="28"/>
          <w:szCs w:val="28"/>
        </w:rPr>
        <w:t xml:space="preserve">средства областного бюджета.        </w:t>
      </w:r>
    </w:p>
    <w:p w:rsidR="00A46A97" w:rsidRPr="00C038D4" w:rsidRDefault="00A46A97" w:rsidP="00C038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8D4">
        <w:rPr>
          <w:rFonts w:ascii="Times New Roman" w:hAnsi="Times New Roman" w:cs="Times New Roman"/>
          <w:sz w:val="28"/>
          <w:szCs w:val="28"/>
        </w:rPr>
        <w:t>По состоянию на 01.01.2018 года освоено всего 11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038D4">
        <w:rPr>
          <w:rFonts w:ascii="Times New Roman" w:hAnsi="Times New Roman" w:cs="Times New Roman"/>
          <w:sz w:val="28"/>
          <w:szCs w:val="28"/>
        </w:rPr>
        <w:t>639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4">
        <w:rPr>
          <w:rFonts w:ascii="Times New Roman" w:hAnsi="Times New Roman" w:cs="Times New Roman"/>
          <w:sz w:val="28"/>
          <w:szCs w:val="28"/>
        </w:rPr>
        <w:t xml:space="preserve">108,92319 тыс. рублей, в том числе: федеральный бюджет – 150 011,400 65 тыс. рублей </w:t>
      </w:r>
      <w:proofErr w:type="gramStart"/>
      <w:r w:rsidRPr="00C038D4">
        <w:rPr>
          <w:rFonts w:ascii="Times New Roman" w:hAnsi="Times New Roman" w:cs="Times New Roman"/>
          <w:sz w:val="28"/>
          <w:szCs w:val="28"/>
        </w:rPr>
        <w:t>( что</w:t>
      </w:r>
      <w:proofErr w:type="gramEnd"/>
      <w:r w:rsidRPr="00C038D4">
        <w:rPr>
          <w:rFonts w:ascii="Times New Roman" w:hAnsi="Times New Roman" w:cs="Times New Roman"/>
          <w:sz w:val="28"/>
          <w:szCs w:val="28"/>
        </w:rPr>
        <w:t xml:space="preserve"> составляет 40,8 % 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38D4">
        <w:rPr>
          <w:rFonts w:ascii="Times New Roman" w:hAnsi="Times New Roman" w:cs="Times New Roman"/>
          <w:sz w:val="28"/>
          <w:szCs w:val="28"/>
        </w:rPr>
        <w:t xml:space="preserve"> областной бюджет – 11 489 097,52254 тыс. рублей (что составляет 99,6%). </w:t>
      </w:r>
    </w:p>
    <w:p w:rsidR="00A46A97" w:rsidRPr="00C038D4" w:rsidRDefault="00A46A97" w:rsidP="00C038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8D4">
        <w:rPr>
          <w:rFonts w:ascii="Times New Roman" w:hAnsi="Times New Roman" w:cs="Times New Roman"/>
          <w:sz w:val="28"/>
          <w:szCs w:val="28"/>
        </w:rPr>
        <w:t>Финансовые средства федерального бюджета не освоены в объёме 217 644, 39935 тыс. рублей, в том числе по мероприятиям:</w:t>
      </w:r>
    </w:p>
    <w:p w:rsidR="00A46A97" w:rsidRPr="00B4154B" w:rsidRDefault="00A46A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u w:color="FF0000"/>
        </w:rPr>
      </w:pPr>
      <w:r w:rsidRPr="004D69F5">
        <w:rPr>
          <w:rFonts w:ascii="Times New Roman" w:hAnsi="Times New Roman" w:cs="Times New Roman"/>
          <w:sz w:val="28"/>
          <w:szCs w:val="28"/>
          <w:u w:color="FF0000"/>
        </w:rPr>
        <w:t xml:space="preserve">                                                                                                  </w:t>
      </w:r>
      <w:r w:rsidRPr="00B4154B">
        <w:rPr>
          <w:rFonts w:ascii="Times New Roman" w:hAnsi="Times New Roman" w:cs="Times New Roman"/>
          <w:u w:color="FF0000"/>
        </w:rPr>
        <w:t xml:space="preserve"> (</w:t>
      </w:r>
      <w:proofErr w:type="spellStart"/>
      <w:r w:rsidRPr="00B4154B">
        <w:rPr>
          <w:rFonts w:ascii="Times New Roman" w:hAnsi="Times New Roman" w:cs="Times New Roman"/>
          <w:u w:color="FF0000"/>
        </w:rPr>
        <w:t>тыс.руб</w:t>
      </w:r>
      <w:proofErr w:type="spellEnd"/>
      <w:r w:rsidRPr="00B4154B">
        <w:rPr>
          <w:rFonts w:ascii="Times New Roman" w:hAnsi="Times New Roman" w:cs="Times New Roman"/>
          <w:u w:color="FF0000"/>
        </w:rPr>
        <w:t>.)</w:t>
      </w:r>
    </w:p>
    <w:tbl>
      <w:tblPr>
        <w:tblpPr w:leftFromText="180" w:rightFromText="180" w:vertAnchor="text" w:tblpXSpec="center" w:tblpY="1"/>
        <w:tblOverlap w:val="never"/>
        <w:tblW w:w="9904" w:type="dxa"/>
        <w:tblLayout w:type="fixed"/>
        <w:tblLook w:val="00A0" w:firstRow="1" w:lastRow="0" w:firstColumn="1" w:lastColumn="0" w:noHBand="0" w:noVBand="0"/>
      </w:tblPr>
      <w:tblGrid>
        <w:gridCol w:w="1763"/>
        <w:gridCol w:w="784"/>
        <w:gridCol w:w="850"/>
        <w:gridCol w:w="1276"/>
        <w:gridCol w:w="1261"/>
        <w:gridCol w:w="17"/>
        <w:gridCol w:w="1464"/>
        <w:gridCol w:w="904"/>
        <w:gridCol w:w="17"/>
        <w:gridCol w:w="1551"/>
        <w:gridCol w:w="17"/>
      </w:tblGrid>
      <w:tr w:rsidR="00A46A97" w:rsidRPr="00831C83" w:rsidTr="00BA3E7D">
        <w:trPr>
          <w:trHeight w:val="420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22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Мероприятия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A97" w:rsidRPr="00831C83" w:rsidRDefault="00A46A97" w:rsidP="00A22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Предусмотрено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A97" w:rsidRPr="00831C83" w:rsidRDefault="00A46A97" w:rsidP="00A22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Освоено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A97" w:rsidRPr="00831C83" w:rsidRDefault="00A46A97" w:rsidP="00A22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Остаток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A97" w:rsidRPr="00831C83" w:rsidRDefault="00A46A97" w:rsidP="00A22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46A97" w:rsidRPr="00831C83" w:rsidTr="00BA3E7D">
        <w:trPr>
          <w:gridAfter w:val="1"/>
          <w:wAfter w:w="17" w:type="dxa"/>
          <w:trHeight w:val="420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22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A97" w:rsidRPr="00831C83" w:rsidRDefault="00A46A97" w:rsidP="00A22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22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A97" w:rsidRPr="00831C83" w:rsidRDefault="00A46A97" w:rsidP="00A22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ФБ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22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ОБ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A97" w:rsidRPr="00831C83" w:rsidRDefault="00A46A97" w:rsidP="00A22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ФБ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22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ОБ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A97" w:rsidRPr="00831C83" w:rsidRDefault="00A46A97" w:rsidP="00A22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Причина </w:t>
            </w:r>
            <w:proofErr w:type="spellStart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неосвоения</w:t>
            </w:r>
            <w:proofErr w:type="spellEnd"/>
          </w:p>
        </w:tc>
      </w:tr>
      <w:tr w:rsidR="00A46A97" w:rsidRPr="00831C83" w:rsidTr="00BA3E7D">
        <w:trPr>
          <w:gridAfter w:val="1"/>
          <w:wAfter w:w="17" w:type="dxa"/>
          <w:trHeight w:val="851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831C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22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10716,5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22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4377,2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22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10716,44215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22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4377,13836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22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0,05785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A97" w:rsidRPr="00831C83" w:rsidRDefault="00A46A97" w:rsidP="00BA3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-189" w:firstLine="189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0,06164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A97" w:rsidRPr="00831C83" w:rsidRDefault="00A46A97" w:rsidP="00831C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Экономия по торгам</w:t>
            </w:r>
          </w:p>
        </w:tc>
      </w:tr>
      <w:tr w:rsidR="00A46A97" w:rsidRPr="00831C83" w:rsidTr="00BA3E7D">
        <w:trPr>
          <w:gridAfter w:val="1"/>
          <w:wAfter w:w="17" w:type="dxa"/>
          <w:trHeight w:val="198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22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Предоставление субсидий из областного бюджета бюджетам муниципальных образований в целях </w:t>
            </w:r>
            <w:proofErr w:type="spellStart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софинансирования</w:t>
            </w:r>
            <w:proofErr w:type="spellEnd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расходных обязательств, связанных с осуществлением модернизации инфраструктуры общего образования (проведение капитального ремонта, </w:t>
            </w: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реконструкции, строительства зданий, </w:t>
            </w:r>
            <w:proofErr w:type="spellStart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пристроя</w:t>
            </w:r>
            <w:proofErr w:type="spellEnd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к зданиям общеобразовательных организаций, приобретение (выкуп), в том числе оснащение новых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22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217583,0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22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22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22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22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217 583,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A97" w:rsidRPr="00831C83" w:rsidRDefault="00A46A97" w:rsidP="00A22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22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Поступление средств из федерального бюджета не предусмотрено в 2017 году, в связи с расторжением  Соглашения от 16.02.2017 № 074-08-462 между  </w:t>
            </w:r>
            <w:proofErr w:type="spellStart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Министеством</w:t>
            </w:r>
            <w:proofErr w:type="spellEnd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образования и науки РФ и Правительством </w:t>
            </w: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Ульяновской области «О предоставлении субсидии из федерального бюджета бюджету Ульяновской области на </w:t>
            </w:r>
            <w:proofErr w:type="spellStart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софинансирование</w:t>
            </w:r>
            <w:proofErr w:type="spellEnd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расходов, возникающих </w:t>
            </w:r>
            <w:proofErr w:type="spellStart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приреализации</w:t>
            </w:r>
            <w:proofErr w:type="spellEnd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государственных программ субъектов РФ , на реализацию мероприятий по содействию созданию в </w:t>
            </w:r>
            <w:proofErr w:type="spellStart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субектах</w:t>
            </w:r>
            <w:proofErr w:type="spellEnd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РФ (исходя из прогнозируемой потребности) новых мест в общеобразовательных организациях»</w:t>
            </w:r>
          </w:p>
        </w:tc>
      </w:tr>
      <w:tr w:rsidR="00A46A97" w:rsidRPr="00831C83" w:rsidTr="00BA3E7D">
        <w:trPr>
          <w:gridAfter w:val="1"/>
          <w:wAfter w:w="17" w:type="dxa"/>
          <w:trHeight w:val="164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22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Осуществление переданных органам государственной власти субъектов Российской Федерации полномочий Российской Федерации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22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7895,3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22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22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7833,9585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22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22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61,3415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A97" w:rsidRPr="00831C83" w:rsidRDefault="00A46A97" w:rsidP="00A22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C269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экономия возникла в связи с временной нетрудоспособностью сотрудника (больничный лист)</w:t>
            </w:r>
          </w:p>
        </w:tc>
      </w:tr>
      <w:tr w:rsidR="00A46A97" w:rsidRPr="00831C83" w:rsidTr="00BA3E7D">
        <w:trPr>
          <w:gridAfter w:val="1"/>
          <w:wAfter w:w="17" w:type="dxa"/>
          <w:trHeight w:val="51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BB6E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BB6E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BB6E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BB6E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BB6E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BB6E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217644,39935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A97" w:rsidRPr="00831C83" w:rsidRDefault="00A46A97" w:rsidP="00BB6E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0,06164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BB6E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A46A97" w:rsidRDefault="00A46A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6A97" w:rsidRPr="00217C02" w:rsidRDefault="00A46A97" w:rsidP="00217C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6573">
        <w:rPr>
          <w:rFonts w:ascii="Times New Roman" w:hAnsi="Times New Roman" w:cs="Times New Roman"/>
          <w:sz w:val="28"/>
          <w:szCs w:val="28"/>
        </w:rPr>
        <w:t>Финансовые средства областного бюджета не освоены</w:t>
      </w:r>
      <w:r w:rsidRPr="00C06573">
        <w:rPr>
          <w:rFonts w:ascii="Times New Roman" w:hAnsi="Times New Roman" w:cs="Times New Roman"/>
          <w:sz w:val="28"/>
          <w:szCs w:val="28"/>
        </w:rPr>
        <w:br/>
        <w:t xml:space="preserve"> в объёме 48 471,152410 тыс. рублей по следующим причинам: экономия  финансовых средств при оплате коммунальных услуг, услуг связи,</w:t>
      </w:r>
      <w:r>
        <w:rPr>
          <w:rFonts w:ascii="Times New Roman" w:hAnsi="Times New Roman" w:cs="Times New Roman"/>
          <w:sz w:val="28"/>
          <w:szCs w:val="28"/>
        </w:rPr>
        <w:t xml:space="preserve"> питания воспитанников школ-интернатов, </w:t>
      </w:r>
      <w:r w:rsidRPr="00C06573">
        <w:rPr>
          <w:rFonts w:ascii="Times New Roman" w:hAnsi="Times New Roman" w:cs="Times New Roman"/>
          <w:sz w:val="28"/>
          <w:szCs w:val="28"/>
        </w:rPr>
        <w:t>транспортных услуг,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6573">
        <w:rPr>
          <w:rFonts w:ascii="Times New Roman" w:hAnsi="Times New Roman" w:cs="Times New Roman"/>
          <w:sz w:val="28"/>
          <w:szCs w:val="28"/>
        </w:rPr>
        <w:t xml:space="preserve"> ремонтных работ; экономия при проведении торгов, оплаты контрактов, при оплате курсов повышения квалификации</w:t>
      </w:r>
      <w:r w:rsidRPr="00217C0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573">
        <w:rPr>
          <w:rFonts w:ascii="Times New Roman" w:hAnsi="Times New Roman" w:cs="Times New Roman"/>
          <w:sz w:val="28"/>
          <w:szCs w:val="28"/>
        </w:rPr>
        <w:t>уменьшение количества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, а так же частично в декабре 2017 года н</w:t>
      </w:r>
      <w:r w:rsidRPr="00C06573">
        <w:rPr>
          <w:rFonts w:ascii="Times New Roman" w:hAnsi="Times New Roman" w:cs="Times New Roman"/>
          <w:sz w:val="28"/>
          <w:szCs w:val="28"/>
        </w:rPr>
        <w:t>е санкциониро</w:t>
      </w:r>
      <w:r>
        <w:rPr>
          <w:rFonts w:ascii="Times New Roman" w:hAnsi="Times New Roman" w:cs="Times New Roman"/>
          <w:sz w:val="28"/>
          <w:szCs w:val="28"/>
        </w:rPr>
        <w:t>ваны заявки на оплату</w:t>
      </w:r>
      <w:r w:rsidRPr="00C06573">
        <w:rPr>
          <w:rFonts w:ascii="Times New Roman" w:hAnsi="Times New Roman" w:cs="Times New Roman"/>
          <w:sz w:val="28"/>
          <w:szCs w:val="28"/>
        </w:rPr>
        <w:t xml:space="preserve"> 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A97" w:rsidRPr="00C06573" w:rsidRDefault="00A46A97" w:rsidP="00831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6573">
        <w:rPr>
          <w:rFonts w:ascii="Times New Roman" w:hAnsi="Times New Roman" w:cs="Times New Roman"/>
          <w:sz w:val="28"/>
          <w:szCs w:val="28"/>
        </w:rPr>
        <w:t>Не использованные средства сложились по следующим мероприятиям:</w:t>
      </w:r>
    </w:p>
    <w:p w:rsidR="00A46A97" w:rsidRDefault="00A46A97" w:rsidP="007D00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06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Тыс. рублей</w:t>
      </w:r>
    </w:p>
    <w:p w:rsidR="00A46A97" w:rsidRDefault="00A46A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3E7D" w:rsidRDefault="00BA3E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2" w:type="dxa"/>
        <w:tblInd w:w="-106" w:type="dxa"/>
        <w:tblLook w:val="00A0" w:firstRow="1" w:lastRow="0" w:firstColumn="1" w:lastColumn="0" w:noHBand="0" w:noVBand="0"/>
      </w:tblPr>
      <w:tblGrid>
        <w:gridCol w:w="3470"/>
        <w:gridCol w:w="690"/>
        <w:gridCol w:w="1472"/>
        <w:gridCol w:w="1267"/>
        <w:gridCol w:w="1253"/>
        <w:gridCol w:w="1560"/>
      </w:tblGrid>
      <w:tr w:rsidR="00A46A97" w:rsidRPr="00831C83">
        <w:trPr>
          <w:trHeight w:val="42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Мероприятие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ГРБС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Предусмотрено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Освоение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Остаток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Примечание</w:t>
            </w:r>
          </w:p>
        </w:tc>
      </w:tr>
      <w:tr w:rsidR="00A46A97" w:rsidRPr="00831C83">
        <w:trPr>
          <w:trHeight w:val="2145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6C4D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6A97" w:rsidRPr="00831C83" w:rsidRDefault="00A46A97" w:rsidP="006C4D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Министерство образования и науки Ульяновской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6C4D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510,80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6C4D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506,14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A97" w:rsidRPr="00831C83" w:rsidRDefault="00A46A97" w:rsidP="006C4D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4,66064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6C4D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Уменьшение </w:t>
            </w:r>
            <w:proofErr w:type="spellStart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количеста</w:t>
            </w:r>
            <w:proofErr w:type="spellEnd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получателей выплат: в </w:t>
            </w:r>
            <w:proofErr w:type="spellStart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Мелекесским</w:t>
            </w:r>
            <w:proofErr w:type="spellEnd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районе 1 человек находится в декретном отпуске</w:t>
            </w:r>
          </w:p>
        </w:tc>
      </w:tr>
      <w:tr w:rsidR="00A46A97" w:rsidRPr="00831C83">
        <w:trPr>
          <w:trHeight w:val="975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Субвенции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6C4D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8 222,20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6C4D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8 213,44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A97" w:rsidRPr="00831C83" w:rsidRDefault="00A46A97" w:rsidP="006C4D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8,75600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6C4D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Уменьшение количества получателей  выплат</w:t>
            </w:r>
          </w:p>
        </w:tc>
      </w:tr>
      <w:tr w:rsidR="00A46A97" w:rsidRPr="00831C83">
        <w:trPr>
          <w:trHeight w:val="1485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сурдопереводчиков</w:t>
            </w:r>
            <w:proofErr w:type="spellEnd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тифлосурдопереводчиков</w:t>
            </w:r>
            <w:proofErr w:type="spellEnd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6C4D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7 437,20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6C4D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7 435,63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A97" w:rsidRPr="00831C83" w:rsidRDefault="00A46A97" w:rsidP="006C4D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1,57058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577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bookmarkStart w:id="0" w:name="RANGE_G15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Уменьшение потребности в специальных учебниках</w:t>
            </w:r>
            <w:bookmarkEnd w:id="0"/>
          </w:p>
        </w:tc>
      </w:tr>
      <w:tr w:rsidR="00A46A97" w:rsidRPr="00831C83">
        <w:trPr>
          <w:trHeight w:val="18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22 475,30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22 462,56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12,74000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концу года не все договора предъявлены к оплате</w:t>
            </w:r>
          </w:p>
        </w:tc>
      </w:tr>
      <w:tr w:rsidR="00A46A97" w:rsidRPr="00831C83">
        <w:trPr>
          <w:trHeight w:val="48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Мероприятия по поощрению лучших учителей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 санкционированы заявки  на оплату расходов в декабре 2017 года</w:t>
            </w:r>
          </w:p>
        </w:tc>
      </w:tr>
      <w:tr w:rsidR="00A46A97" w:rsidRPr="00831C83">
        <w:trPr>
          <w:trHeight w:val="1095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Субсидии на </w:t>
            </w:r>
            <w:proofErr w:type="spellStart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софинансирование</w:t>
            </w:r>
            <w:proofErr w:type="spellEnd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ремонта, ликвидации аварийной ситуации в зданиях муниципальных общеобразовательных организаций, приобретения оборудования для указанных организаций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9 137,30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9 107,29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30,00992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экономия по торгам </w:t>
            </w:r>
            <w:proofErr w:type="spellStart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Маинский</w:t>
            </w:r>
            <w:proofErr w:type="spellEnd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район </w:t>
            </w:r>
            <w:proofErr w:type="spellStart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Игнатовская</w:t>
            </w:r>
            <w:proofErr w:type="spellEnd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СОШ и Павловский район МОУ СОШ №1</w:t>
            </w:r>
          </w:p>
        </w:tc>
      </w:tr>
      <w:tr w:rsidR="00A46A97" w:rsidRPr="00831C83">
        <w:trPr>
          <w:trHeight w:val="96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Возмещение затрат индивидуальным предпринимателям, осуществляющим образовательную деятельность по образовательным программам дошкольного образования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6 433,40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4 935,22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1 498,18053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 санкционированы заявки на оплату расходов  в декабре 2017 года</w:t>
            </w:r>
          </w:p>
        </w:tc>
      </w:tr>
      <w:tr w:rsidR="00A46A97" w:rsidRPr="00831C83">
        <w:trPr>
          <w:trHeight w:val="96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Субсидии на </w:t>
            </w:r>
            <w:proofErr w:type="spellStart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софинансирование</w:t>
            </w:r>
            <w:proofErr w:type="spellEnd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развития системы дошкольного образования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25 406,14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6C4D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23 602,49687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sz w:val="18"/>
                <w:szCs w:val="18"/>
              </w:rPr>
              <w:t>1 803,64313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экономия по торгам по приобретению оборудования для детского сада в </w:t>
            </w:r>
            <w:proofErr w:type="spellStart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г.Димитровград</w:t>
            </w:r>
            <w:proofErr w:type="spellEnd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A46A97" w:rsidRPr="00831C83">
        <w:trPr>
          <w:trHeight w:val="222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4 203,90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4 183,51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20,38600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уменьшение числа получателей выплат, </w:t>
            </w:r>
          </w:p>
        </w:tc>
      </w:tr>
      <w:tr w:rsidR="00A46A97" w:rsidRPr="00831C83">
        <w:trPr>
          <w:trHeight w:val="192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Субвенции на финансовое обеспечение расходных обязательств, связанных с предоставлением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263 899,30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263 898,53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0,77000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A46A97" w:rsidRPr="00831C83">
        <w:trPr>
          <w:trHeight w:val="216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Проведение мероприятий для детей и молодёжи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45 833,65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44 537,64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1 296,00144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A97" w:rsidRPr="00831C83" w:rsidRDefault="00A46A97" w:rsidP="00BE2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sz w:val="18"/>
                <w:szCs w:val="18"/>
              </w:rPr>
              <w:t xml:space="preserve">Не санкционированы заявки на оплату расходов  в декабре 2017 года в сумме 300,0 тыс. рублей по ОГКУ  УОДО   , 449,248 </w:t>
            </w:r>
            <w:proofErr w:type="spellStart"/>
            <w:r w:rsidRPr="00831C8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proofErr w:type="spellEnd"/>
            <w:r w:rsidRPr="00831C83">
              <w:rPr>
                <w:rFonts w:ascii="Times New Roman" w:hAnsi="Times New Roman" w:cs="Times New Roman"/>
                <w:sz w:val="18"/>
                <w:szCs w:val="18"/>
              </w:rPr>
              <w:t xml:space="preserve"> по Министерству образования и 1,5 </w:t>
            </w:r>
            <w:proofErr w:type="spellStart"/>
            <w:r w:rsidRPr="00831C8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proofErr w:type="spellEnd"/>
            <w:r w:rsidRPr="00831C83">
              <w:rPr>
                <w:rFonts w:ascii="Times New Roman" w:hAnsi="Times New Roman" w:cs="Times New Roman"/>
                <w:sz w:val="18"/>
                <w:szCs w:val="18"/>
              </w:rPr>
              <w:t xml:space="preserve"> по ККК</w:t>
            </w:r>
            <w:r w:rsidRPr="00831C8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750,748 </w:t>
            </w:r>
            <w:proofErr w:type="spellStart"/>
            <w:r w:rsidRPr="00831C8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r w:rsidRPr="00831C83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spellStart"/>
            <w:r w:rsidRPr="00831C83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831C8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545,25344 экономия </w:t>
            </w:r>
          </w:p>
        </w:tc>
      </w:tr>
      <w:tr w:rsidR="00A46A97" w:rsidRPr="00831C83">
        <w:trPr>
          <w:trHeight w:val="1305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Субвенции на финансовое обеспечение расходных обязательств, связанных с реализацией Закона Ульяновской области от 2 мая 2012 года 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22 260,50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22 255,92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4,57566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A97" w:rsidRPr="00831C83" w:rsidRDefault="00A46A97" w:rsidP="004E3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уменьшение числа получателей выплат, </w:t>
            </w:r>
          </w:p>
        </w:tc>
      </w:tr>
      <w:tr w:rsidR="00A46A97" w:rsidRPr="00831C83">
        <w:trPr>
          <w:trHeight w:val="9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Реализация Закона Ульяновской области от 2 мая 2012 года 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1 705,40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1 610,58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94,81249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A97" w:rsidRPr="00831C83" w:rsidRDefault="00A46A97" w:rsidP="004E3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уменьшение числа получателей выплат, </w:t>
            </w:r>
          </w:p>
        </w:tc>
      </w:tr>
      <w:tr w:rsidR="00A46A97" w:rsidRPr="00831C83">
        <w:trPr>
          <w:trHeight w:val="96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Организация оздоровления работников бюджетной сферы на территории Ульяновской области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3 578,77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1 140,74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2 438,02700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A97" w:rsidRPr="00831C83" w:rsidRDefault="00A46A97" w:rsidP="00F12F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sz w:val="18"/>
                <w:szCs w:val="18"/>
              </w:rPr>
              <w:t xml:space="preserve">Не санкционированы заявки , в сумме 1802,530 тыс. </w:t>
            </w:r>
            <w:proofErr w:type="spellStart"/>
            <w:r w:rsidRPr="00831C83">
              <w:rPr>
                <w:rFonts w:ascii="Times New Roman" w:hAnsi="Times New Roman" w:cs="Times New Roman"/>
                <w:sz w:val="18"/>
                <w:szCs w:val="18"/>
              </w:rPr>
              <w:t>рублейтыс.рублей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r w:rsidRPr="00831C83">
              <w:rPr>
                <w:rFonts w:ascii="Times New Roman" w:hAnsi="Times New Roman" w:cs="Times New Roman"/>
                <w:sz w:val="18"/>
                <w:szCs w:val="18"/>
              </w:rPr>
              <w:t xml:space="preserve">экономия 635,497 </w:t>
            </w:r>
            <w:proofErr w:type="spellStart"/>
            <w:r w:rsidRPr="00831C8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proofErr w:type="spellEnd"/>
          </w:p>
        </w:tc>
      </w:tr>
      <w:tr w:rsidR="00A46A97" w:rsidRPr="00831C83">
        <w:trPr>
          <w:trHeight w:val="18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Организация и обеспечение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общеобразовательных организациях для детей-сирот и детей, оставшихся без попечения родителей, и детей, находящихся в трудной жизненной ситуации, в загородных лагерях отдыха и оздоровления детей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124 217,74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109 518,83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14 698,90853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A97" w:rsidRPr="00831C83" w:rsidRDefault="00A46A97" w:rsidP="00F12F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Экономия по </w:t>
            </w:r>
            <w:proofErr w:type="spellStart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питанию,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,н</w:t>
            </w: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</w:t>
            </w:r>
            <w:proofErr w:type="spellEnd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санкционированы заявки на оплату расходов в декабре 2017 года</w:t>
            </w:r>
          </w:p>
        </w:tc>
      </w:tr>
      <w:tr w:rsidR="00A46A97" w:rsidRPr="00831C83">
        <w:trPr>
          <w:trHeight w:val="72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Субсидии на </w:t>
            </w:r>
            <w:proofErr w:type="spellStart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софинансирование</w:t>
            </w:r>
            <w:proofErr w:type="spellEnd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организации оздоровления работников бюджетной сферы на территории Ульяновской области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2 574,60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2 570,31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4,28541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уменьшение потребности в связи с сокращением дней отдыха  - 1 человек</w:t>
            </w:r>
          </w:p>
        </w:tc>
      </w:tr>
      <w:tr w:rsidR="00A46A97" w:rsidRPr="00831C83">
        <w:trPr>
          <w:trHeight w:val="2565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Субвенции на финансовое обеспечение расходных обязательств, связанных с организацией и обеспечением оздоровления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54 222,20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54 201,66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20,53610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Сокращение потребности  в связи с уменьшением числа детей воспользовавшихся оздоровлением в дневных лагерях</w:t>
            </w:r>
          </w:p>
        </w:tc>
      </w:tr>
      <w:tr w:rsidR="00A46A97" w:rsidRPr="00831C83">
        <w:trPr>
          <w:trHeight w:val="45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Мероприятия по проведению оздоровительной кампании детей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83 021,92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82 845,99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175,93582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A46A97" w:rsidRPr="00831C83">
        <w:trPr>
          <w:trHeight w:val="885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Лицензирование и аккредитация образовательных организаций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704,50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291,16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413,33889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Частично в декабре не санкционированы заявки на оплату расходов.</w:t>
            </w:r>
          </w:p>
        </w:tc>
      </w:tr>
      <w:tr w:rsidR="00A46A97" w:rsidRPr="00831C83">
        <w:trPr>
          <w:trHeight w:val="675"/>
        </w:trPr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Обеспечение деятельности государственных учреждений, находящихся в ведении Министерства образования и науки Ульяновской области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1 774 945,11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1 760 972,50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13 972,61575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A97" w:rsidRPr="00831C83" w:rsidRDefault="00A46A97" w:rsidP="00F12F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 экономия по оплате ком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</w:t>
            </w: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ун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</w:t>
            </w: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льных услуг, питанию, а так же не санкционированы заявки на оплату расходов в декабре 2017 года</w:t>
            </w:r>
          </w:p>
        </w:tc>
      </w:tr>
      <w:tr w:rsidR="00A46A97" w:rsidRPr="00831C83">
        <w:trPr>
          <w:trHeight w:val="9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44 329,20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42 667,79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1 661,40659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экономия средств в связи с длительным нахождением сотрудника по временной </w:t>
            </w:r>
            <w:proofErr w:type="spellStart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нетродуспособностью</w:t>
            </w:r>
            <w:proofErr w:type="spellEnd"/>
          </w:p>
        </w:tc>
      </w:tr>
      <w:tr w:rsidR="00A46A97" w:rsidRPr="00831C83">
        <w:trPr>
          <w:trHeight w:val="420"/>
        </w:trPr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831C8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софинансирование</w:t>
            </w:r>
            <w:proofErr w:type="spellEnd"/>
            <w:r w:rsidRPr="00831C8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ФБ Доступная среда 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4 377,20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4 377,14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0,06164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экономия  </w:t>
            </w:r>
          </w:p>
        </w:tc>
      </w:tr>
      <w:tr w:rsidR="00A46A97" w:rsidRPr="00831C83">
        <w:trPr>
          <w:trHeight w:val="330"/>
        </w:trPr>
        <w:tc>
          <w:tcPr>
            <w:tcW w:w="34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Итого по Министерству образования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38 461,22212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A46A97" w:rsidRPr="00831C83">
        <w:trPr>
          <w:trHeight w:val="108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Создание условий успешной социализации и эффективной самореализации молодёжи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Министерство молодёжного развития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5212,3659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3685,43509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1 526,93083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 санкционированы заявки на оплату расходов в декабре 2017 года  и кроме того  181,53863 экономия  по мероприятиям</w:t>
            </w:r>
          </w:p>
        </w:tc>
      </w:tr>
      <w:tr w:rsidR="00A46A97" w:rsidRPr="00831C83">
        <w:trPr>
          <w:trHeight w:val="1020"/>
        </w:trPr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Обеспечение деятельности </w:t>
            </w:r>
            <w:proofErr w:type="spellStart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центральног</w:t>
            </w:r>
            <w:proofErr w:type="spellEnd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аппарата Министерства молодёжного развития Ульяновской области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sz w:val="18"/>
                <w:szCs w:val="18"/>
              </w:rPr>
              <w:t>1 544,200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2108,354570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-564,15457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Не внесены в госпрограмму изменения по </w:t>
            </w:r>
            <w:proofErr w:type="spellStart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уведичению</w:t>
            </w:r>
            <w:proofErr w:type="spellEnd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бюджетных </w:t>
            </w:r>
            <w:proofErr w:type="spellStart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ассионований</w:t>
            </w:r>
            <w:proofErr w:type="spellEnd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на  аппарат управления</w:t>
            </w:r>
          </w:p>
        </w:tc>
      </w:tr>
      <w:tr w:rsidR="00A46A97" w:rsidRPr="00831C83">
        <w:trPr>
          <w:trHeight w:val="315"/>
        </w:trPr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 по Министерству молодёжного развития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962,77626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A46A97" w:rsidRPr="00831C83">
        <w:trPr>
          <w:trHeight w:val="183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4.1.Предоставление субсидий из областного бюджета бюджетам муниципальных образований в целях </w:t>
            </w:r>
            <w:proofErr w:type="spellStart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софинансирования</w:t>
            </w:r>
            <w:proofErr w:type="spellEnd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расходных обязательств, связанных с осуществлением капитального ремонта, ликвидацией аварийной ситуации в зданиях муниципальных общеобразовательных организаций, приобретением оборудования, в том числе оборудования, обеспечивающего антитеррористическую защищённость указанных организаций 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Министерство строительства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77359,28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76076,5396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1 282,74041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A46A97" w:rsidRPr="00831C83" w:rsidRDefault="00A46A97" w:rsidP="006C4D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Финансирование предоставлялось в соответствии с заявками муниципальных образований в соответствие с актами выполненных работ и по факту предоставления актов выполненных работ </w:t>
            </w:r>
          </w:p>
        </w:tc>
      </w:tr>
      <w:tr w:rsidR="00A46A97" w:rsidRPr="00831C83">
        <w:trPr>
          <w:trHeight w:val="21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5.1. Предоставление субсидий из областного бюджета бюджетам муниципальных образований  в целях </w:t>
            </w:r>
            <w:proofErr w:type="spellStart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софинансирования</w:t>
            </w:r>
            <w:proofErr w:type="spellEnd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расходных обязательств, связанных с осуществлением ремонта зданий и сооружений муниципальных дошкольных образовательных организаций, находящихся в аварийном состоянии, с устройством внутридомовых сооружений, благоустройством территорий, </w:t>
            </w:r>
            <w:proofErr w:type="spellStart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приобретениием</w:t>
            </w:r>
            <w:proofErr w:type="spellEnd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установкой оборудования, в том числе оборудования, обеспечивающего антитеррористическую защищённость 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32 894,76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32 780,29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114,46784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46A97" w:rsidRPr="00831C83">
        <w:trPr>
          <w:trHeight w:val="1531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5.4.Предоставление субсидий из областного бюджета бюджетам муниципальных образований в целях </w:t>
            </w:r>
            <w:proofErr w:type="spellStart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софинансирования</w:t>
            </w:r>
            <w:proofErr w:type="spellEnd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расходных обязательств, связанных с осуществлением строительства зданий дошкольных образовательных организаций, устройством внутридомовых </w:t>
            </w:r>
            <w:proofErr w:type="spellStart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соружений</w:t>
            </w:r>
            <w:proofErr w:type="spellEnd"/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благоустройством территорий, приобретением и установкой оборудования 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97 359,81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91 635,25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5 724,560580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46A97" w:rsidRPr="00831C83">
        <w:trPr>
          <w:trHeight w:val="141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1.1.Разработка и распространение в системах среднего профессионального и высшего образования новых образовательных технологий, форм организации образовательного процесса в рамках реализации Федеральной целевой программы развития образования на 2016 - 2020 годы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150 000,00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148 074,61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1 925,38520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кредиторская задолженность </w:t>
            </w:r>
          </w:p>
        </w:tc>
      </w:tr>
      <w:tr w:rsidR="00A46A97" w:rsidRPr="00831C83">
        <w:trPr>
          <w:trHeight w:val="315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 по Министерству  строительства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9 047,15403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46A97" w:rsidRPr="00831C83" w:rsidRDefault="00A46A97" w:rsidP="00A83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C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</w:tbl>
    <w:p w:rsidR="00A46A97" w:rsidRDefault="00A46A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6A97" w:rsidRDefault="00A46A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235">
        <w:rPr>
          <w:rFonts w:ascii="Times New Roman" w:hAnsi="Times New Roman" w:cs="Times New Roman"/>
          <w:b/>
          <w:bCs/>
          <w:sz w:val="28"/>
          <w:szCs w:val="28"/>
        </w:rPr>
        <w:t>Подпрограмма «Развитие общего образования детей в Ульяновской области»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На реализацию подпрограммы в 2017 году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5235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F5235">
        <w:rPr>
          <w:rFonts w:ascii="Times New Roman" w:hAnsi="Times New Roman" w:cs="Times New Roman"/>
          <w:sz w:val="28"/>
          <w:szCs w:val="28"/>
        </w:rPr>
        <w:t xml:space="preserve">-графиком </w:t>
      </w:r>
      <w:proofErr w:type="gramStart"/>
      <w:r w:rsidRPr="00CF5235">
        <w:rPr>
          <w:rFonts w:ascii="Times New Roman" w:hAnsi="Times New Roman" w:cs="Times New Roman"/>
          <w:sz w:val="28"/>
          <w:szCs w:val="28"/>
        </w:rPr>
        <w:t>утверждено  9</w:t>
      </w:r>
      <w:proofErr w:type="gramEnd"/>
      <w:r w:rsidRPr="00CF5235">
        <w:rPr>
          <w:rFonts w:ascii="Times New Roman" w:hAnsi="Times New Roman" w:cs="Times New Roman"/>
          <w:sz w:val="28"/>
          <w:szCs w:val="28"/>
        </w:rPr>
        <w:t xml:space="preserve"> 156 423,87 тыс. рублей (данные средства – средства областного бюджета) из них освоено  9 145 621,26488 тыс. рублей, что составляет 99,9%.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Финансовые средства были направлены на реализацию следующих мероприятий подпрограммы:</w:t>
      </w:r>
    </w:p>
    <w:p w:rsidR="00A46A97" w:rsidRDefault="00A46A97" w:rsidP="000F5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2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482A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482A">
        <w:rPr>
          <w:rFonts w:ascii="Times New Roman" w:hAnsi="Times New Roman" w:cs="Times New Roman"/>
          <w:sz w:val="28"/>
          <w:szCs w:val="28"/>
        </w:rPr>
        <w:t xml:space="preserve"> 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482A">
        <w:rPr>
          <w:rFonts w:ascii="Times New Roman" w:hAnsi="Times New Roman" w:cs="Times New Roman"/>
          <w:sz w:val="28"/>
          <w:szCs w:val="28"/>
        </w:rPr>
        <w:t xml:space="preserve"> «Предоставление субвенций из областного бюджета муниципальным образованиям в целях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</w:t>
      </w:r>
      <w:r w:rsidRPr="0080482A">
        <w:rPr>
          <w:rFonts w:ascii="Times New Roman" w:hAnsi="Times New Roman" w:cs="Times New Roman"/>
          <w:sz w:val="28"/>
          <w:szCs w:val="28"/>
        </w:rPr>
        <w:lastRenderedPageBreak/>
        <w:t>также обеспечения дополнительного образования в муниципальных общеобразовательных организациях»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A97" w:rsidRDefault="00A46A97" w:rsidP="000F5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80482A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482A">
        <w:rPr>
          <w:rFonts w:ascii="Times New Roman" w:hAnsi="Times New Roman" w:cs="Times New Roman"/>
          <w:sz w:val="28"/>
          <w:szCs w:val="28"/>
        </w:rPr>
        <w:t xml:space="preserve"> «Предоставление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субсидий из областного бюджета на возмещение затрат, связанных с осуществлением указанной деятельности,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установленными органами государственной власти Ульяновской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04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A97" w:rsidRDefault="00A46A97" w:rsidP="000F5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80482A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482A">
        <w:rPr>
          <w:rFonts w:ascii="Times New Roman" w:hAnsi="Times New Roman" w:cs="Times New Roman"/>
          <w:sz w:val="28"/>
          <w:szCs w:val="28"/>
        </w:rPr>
        <w:t xml:space="preserve"> «Предоставление субвенций из областного бюджета бюджетам муниципальных образований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A97" w:rsidRDefault="00A46A97" w:rsidP="000F5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80482A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482A">
        <w:rPr>
          <w:rFonts w:ascii="Times New Roman" w:hAnsi="Times New Roman" w:cs="Times New Roman"/>
          <w:sz w:val="28"/>
          <w:szCs w:val="28"/>
        </w:rPr>
        <w:t xml:space="preserve"> «Предоставление субвенций из областного бюджета бюджетам муниципальных образований на финансовое обеспечение расходных обязательств, связанных </w:t>
      </w:r>
      <w:proofErr w:type="gramStart"/>
      <w:r w:rsidRPr="0080482A">
        <w:rPr>
          <w:rFonts w:ascii="Times New Roman" w:hAnsi="Times New Roman" w:cs="Times New Roman"/>
          <w:sz w:val="28"/>
          <w:szCs w:val="28"/>
        </w:rPr>
        <w:t>с осуществлением</w:t>
      </w:r>
      <w:proofErr w:type="gramEnd"/>
      <w:r w:rsidRPr="0080482A">
        <w:rPr>
          <w:rFonts w:ascii="Times New Roman" w:hAnsi="Times New Roman" w:cs="Times New Roman"/>
          <w:sz w:val="28"/>
          <w:szCs w:val="28"/>
        </w:rPr>
        <w:t xml:space="preserve"> обучающимся 10-х (11-х) и 11-х (12-х) классов муниципальных общеобразовательных организаций ежемесячных денежных выплат»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04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A97" w:rsidRDefault="00A46A97" w:rsidP="000F5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80482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482A">
        <w:rPr>
          <w:rFonts w:ascii="Times New Roman" w:hAnsi="Times New Roman" w:cs="Times New Roman"/>
          <w:sz w:val="28"/>
          <w:szCs w:val="28"/>
        </w:rPr>
        <w:t xml:space="preserve"> «Предоставление субвенций из областного бюджета бюджетам муниципальных образований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</w:r>
      <w:proofErr w:type="spellStart"/>
      <w:r w:rsidRPr="0080482A">
        <w:rPr>
          <w:rFonts w:ascii="Times New Roman" w:hAnsi="Times New Roman" w:cs="Times New Roman"/>
          <w:sz w:val="28"/>
          <w:szCs w:val="28"/>
        </w:rPr>
        <w:t>сурдопереводчиков</w:t>
      </w:r>
      <w:proofErr w:type="spellEnd"/>
      <w:r w:rsidRPr="008048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482A">
        <w:rPr>
          <w:rFonts w:ascii="Times New Roman" w:hAnsi="Times New Roman" w:cs="Times New Roman"/>
          <w:sz w:val="28"/>
          <w:szCs w:val="28"/>
        </w:rPr>
        <w:t>тифлосурдопереводчиков</w:t>
      </w:r>
      <w:proofErr w:type="spellEnd"/>
      <w:r w:rsidRPr="0080482A">
        <w:rPr>
          <w:rFonts w:ascii="Times New Roman" w:hAnsi="Times New Roman" w:cs="Times New Roman"/>
          <w:sz w:val="28"/>
          <w:szCs w:val="28"/>
        </w:rPr>
        <w:t xml:space="preserve"> при получении обучающимися с ограниченными возможностями здоровья образования в муниципальных образовательных организациях»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A97" w:rsidRDefault="00A46A97" w:rsidP="000F5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80482A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482A">
        <w:rPr>
          <w:rFonts w:ascii="Times New Roman" w:hAnsi="Times New Roman" w:cs="Times New Roman"/>
          <w:sz w:val="28"/>
          <w:szCs w:val="28"/>
        </w:rPr>
        <w:t xml:space="preserve"> «Предоставление субвенций из областного бюджета бюджетам муниципальных образований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A97" w:rsidRDefault="00A46A97" w:rsidP="000F5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мероприятие </w:t>
      </w:r>
      <w:r w:rsidRPr="0080482A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482A">
        <w:rPr>
          <w:rFonts w:ascii="Times New Roman" w:hAnsi="Times New Roman" w:cs="Times New Roman"/>
          <w:sz w:val="28"/>
          <w:szCs w:val="28"/>
        </w:rPr>
        <w:t xml:space="preserve"> «Предоставление субвенций из областного бюджета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A97" w:rsidRDefault="00A46A97" w:rsidP="000F5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80482A"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482A">
        <w:rPr>
          <w:rFonts w:ascii="Times New Roman" w:hAnsi="Times New Roman" w:cs="Times New Roman"/>
          <w:sz w:val="28"/>
          <w:szCs w:val="28"/>
        </w:rPr>
        <w:t xml:space="preserve"> «Предоставление частным дошкольным образовательным организациям, осуществляющим образовательную деятельность по образовательным программам дошкольного образования, субсидий из областного бюджета на возмещение затрат, связанных с осуществлением указанной деятельности,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установленными органами государственной власти Ульяновской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A97" w:rsidRDefault="00A46A97" w:rsidP="000F5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80482A">
        <w:rPr>
          <w:rFonts w:ascii="Times New Roman" w:hAnsi="Times New Roman" w:cs="Times New Roman"/>
          <w:sz w:val="28"/>
          <w:szCs w:val="28"/>
        </w:rPr>
        <w:t>5.5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482A">
        <w:rPr>
          <w:rFonts w:ascii="Times New Roman" w:hAnsi="Times New Roman" w:cs="Times New Roman"/>
          <w:sz w:val="28"/>
          <w:szCs w:val="28"/>
        </w:rPr>
        <w:t xml:space="preserve"> «Предоставление субвенций из областного бюджета бюджетам муниципальных образований в целях финансового обеспечения осуществления государственных полномочий по предоставлению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</w:t>
      </w:r>
      <w:proofErr w:type="gramStart"/>
      <w:r w:rsidRPr="0080482A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80482A">
        <w:rPr>
          <w:rFonts w:ascii="Times New Roman" w:hAnsi="Times New Roman" w:cs="Times New Roman"/>
          <w:sz w:val="28"/>
          <w:szCs w:val="28"/>
        </w:rPr>
        <w:t xml:space="preserve"> внесённой в соответствующие образовательные организации родительской платы за присмотр и уход за детьми»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04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A97" w:rsidRDefault="00A46A97" w:rsidP="000F5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80482A">
        <w:rPr>
          <w:rFonts w:ascii="Times New Roman" w:hAnsi="Times New Roman" w:cs="Times New Roman"/>
          <w:sz w:val="28"/>
          <w:szCs w:val="28"/>
        </w:rPr>
        <w:t>5.6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482A">
        <w:rPr>
          <w:rFonts w:ascii="Times New Roman" w:hAnsi="Times New Roman" w:cs="Times New Roman"/>
          <w:sz w:val="28"/>
          <w:szCs w:val="28"/>
        </w:rPr>
        <w:t xml:space="preserve"> «Предоставление субвенций из областного бюджета бюджетам городских округов Ульяновской области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A97" w:rsidRDefault="00A46A97" w:rsidP="000F5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80482A">
        <w:rPr>
          <w:rFonts w:ascii="Times New Roman" w:hAnsi="Times New Roman" w:cs="Times New Roman"/>
          <w:sz w:val="28"/>
          <w:szCs w:val="28"/>
        </w:rPr>
        <w:t>5.7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482A">
        <w:rPr>
          <w:rFonts w:ascii="Times New Roman" w:hAnsi="Times New Roman" w:cs="Times New Roman"/>
          <w:sz w:val="28"/>
          <w:szCs w:val="28"/>
        </w:rPr>
        <w:t xml:space="preserve"> «Предоставление индивидуальным предпринимателям, осуществляющим образовательную деятельность по образовательным программам дошкольного образования, субсидий из областного бюджета на возмещение затрат, связанных с осуществлением указанной деятельности,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установленными органами государственной власти Ульяновской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4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A97" w:rsidRDefault="00A46A97" w:rsidP="000F5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Мероприятия, указанные выше, </w:t>
      </w:r>
      <w:r w:rsidRPr="0080482A">
        <w:rPr>
          <w:rFonts w:ascii="Times New Roman" w:hAnsi="Times New Roman" w:cs="Times New Roman"/>
          <w:sz w:val="28"/>
          <w:szCs w:val="28"/>
        </w:rPr>
        <w:t>направлены на исполнение полномочий Министерства образования и науки Ульяновской области в соответствии с Законом об образовании в РФ от 29.12.2012 № 273-ФЗ и Законом Ульяновской области от 13.08.2013 № 134-ЗО «Об образовании в Ульяновской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48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6A97" w:rsidRPr="0080482A" w:rsidRDefault="00A46A97" w:rsidP="000F5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2A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48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2A">
        <w:rPr>
          <w:rFonts w:ascii="Times New Roman" w:hAnsi="Times New Roman" w:cs="Times New Roman"/>
          <w:sz w:val="28"/>
          <w:szCs w:val="28"/>
        </w:rPr>
        <w:t>717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2A">
        <w:rPr>
          <w:rFonts w:ascii="Times New Roman" w:hAnsi="Times New Roman" w:cs="Times New Roman"/>
          <w:sz w:val="28"/>
          <w:szCs w:val="28"/>
        </w:rPr>
        <w:t>677,780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2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482A">
        <w:rPr>
          <w:rFonts w:ascii="Times New Roman" w:hAnsi="Times New Roman" w:cs="Times New Roman"/>
          <w:sz w:val="28"/>
          <w:szCs w:val="28"/>
        </w:rPr>
        <w:t xml:space="preserve"> из них </w:t>
      </w:r>
      <w:proofErr w:type="gramStart"/>
      <w:r w:rsidRPr="0080482A">
        <w:rPr>
          <w:rFonts w:ascii="Times New Roman" w:hAnsi="Times New Roman" w:cs="Times New Roman"/>
          <w:sz w:val="28"/>
          <w:szCs w:val="28"/>
        </w:rPr>
        <w:t>освоено  8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80482A">
        <w:rPr>
          <w:rFonts w:ascii="Times New Roman" w:hAnsi="Times New Roman" w:cs="Times New Roman"/>
          <w:sz w:val="28"/>
          <w:szCs w:val="28"/>
        </w:rPr>
        <w:t>716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2A">
        <w:rPr>
          <w:rFonts w:ascii="Times New Roman" w:hAnsi="Times New Roman" w:cs="Times New Roman"/>
          <w:sz w:val="28"/>
          <w:szCs w:val="28"/>
        </w:rPr>
        <w:t xml:space="preserve">130,71625 тыс. рублей, что составляет 99,9 %. </w:t>
      </w:r>
    </w:p>
    <w:p w:rsidR="00A46A97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2) Мероприятие 1.5. «Предоставление бюджетам муниципальных районов и городских округов Ульяновской области субсидий из областного бюджета в целях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в связи с обеспечением базовыми муниципальными общеобразовательными организациями профильного обучения математической направленности или углублённого изучения учебного предмета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5235">
        <w:rPr>
          <w:rFonts w:ascii="Times New Roman" w:hAnsi="Times New Roman" w:cs="Times New Roman"/>
          <w:sz w:val="28"/>
          <w:szCs w:val="28"/>
        </w:rPr>
        <w:t xml:space="preserve">Математика». 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2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 xml:space="preserve">000,0 тыс. рублей, </w:t>
      </w:r>
      <w:r>
        <w:rPr>
          <w:rFonts w:ascii="Times New Roman" w:hAnsi="Times New Roman" w:cs="Times New Roman"/>
          <w:sz w:val="28"/>
          <w:szCs w:val="28"/>
        </w:rPr>
        <w:t>освоено 100%</w:t>
      </w:r>
      <w:r w:rsidRPr="00CF5235">
        <w:rPr>
          <w:rFonts w:ascii="Times New Roman" w:hAnsi="Times New Roman" w:cs="Times New Roman"/>
          <w:sz w:val="28"/>
          <w:szCs w:val="28"/>
        </w:rPr>
        <w:t>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Субсидия предоставлена муниципальному образованию «город Ульяновск» на создание условий для обеспечения базовыми общеобразовательными организациями профильного обучения математической направленности или углубленного изучения учебного предмета «Математика», приобретение учебной литературы, компьютеров и др. для МБОУ «Лицей при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>».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3) Мероприятие 2.2. «Реализация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населения».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F5235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093,7 тыс. рублей, в том числе из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F523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716,5 тыс. рублей, из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F5235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377,2 тыс. рублей. Освоено всего: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 xml:space="preserve">093,58051 тыс. рублей из них: средств федерального бюджета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5235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716,44215 тыс. рублей</w:t>
      </w:r>
      <w:r w:rsidRPr="00CF5235">
        <w:rPr>
          <w:rFonts w:ascii="Times New Roman" w:hAnsi="Times New Roman" w:cs="Times New Roman"/>
          <w:sz w:val="28"/>
          <w:szCs w:val="28"/>
        </w:rPr>
        <w:t xml:space="preserve">, средств областного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23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377,13836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F5235">
        <w:rPr>
          <w:rFonts w:ascii="Times New Roman" w:hAnsi="Times New Roman" w:cs="Times New Roman"/>
          <w:sz w:val="28"/>
          <w:szCs w:val="28"/>
        </w:rPr>
        <w:t>. Освоение 99,9%</w:t>
      </w:r>
      <w:r w:rsidRPr="00CF5235">
        <w:rPr>
          <w:rFonts w:ascii="Times New Roman" w:hAnsi="Times New Roman" w:cs="Times New Roman"/>
          <w:sz w:val="28"/>
          <w:szCs w:val="28"/>
        </w:rPr>
        <w:tab/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В рамка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F5235">
        <w:rPr>
          <w:rFonts w:ascii="Times New Roman" w:hAnsi="Times New Roman" w:cs="Times New Roman"/>
          <w:sz w:val="28"/>
          <w:szCs w:val="28"/>
        </w:rPr>
        <w:t xml:space="preserve"> реализации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были выполнены следующие виды работ: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- в МБДОУ детский сад № 101 были закуплены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F5235">
        <w:rPr>
          <w:rFonts w:ascii="Times New Roman" w:hAnsi="Times New Roman" w:cs="Times New Roman"/>
          <w:sz w:val="28"/>
          <w:szCs w:val="28"/>
        </w:rPr>
        <w:t xml:space="preserve"> развивающий комплекс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Тimocco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>, мультимедийный комплекс, интерактивная песочница, сенсорное оборудование, а также произведено переоборудование входной группы;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- в МБДОУ детский сад № 190 «Родничок» были закуплены интерактивная система, спортивное оборудование, сенсорное оборудование, развивающий комплекс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Тimocco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, развивающий комплекс «С Тимом», специализированная оборудование; произведено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переооборудование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помещения для установки поручней; проведены ремонтные работы входной группы и пандуса, ремонтные работы кабинета психологической разгрузки;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lastRenderedPageBreak/>
        <w:t>- в МБДОУ «Детский сад № 46 «Одуванчик» были закуплены специализированное оборудование для коррекционно-развивающих занятий, детский игровой комплекс, а также было произведено переоборудование и приспособление помещения, ремонт покрытий пешеходных дорожек;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- в ОГКОУ школа-интернат № 19 были закуплены специализированное интерактивное оборудование, инфракрасный интерактивный класс для обучения, лингводидактические комплексы, коррекционно-развивающий программный комплекс, специализированное реабилитационное оборудование, программно-модульный комплекс,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подкатная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стол-парта, опора для сиденья «Туфелька», учебники, а также произведено переоборудование подсобного помещения под санитарно-гигиеническое помещение;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- в ОГКОУ школа-интернат № 16 были закуплены специализированное интерактивное оборудование,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-кабинет, </w:t>
      </w:r>
      <w:proofErr w:type="gramStart"/>
      <w:r w:rsidRPr="00CF5235">
        <w:rPr>
          <w:rFonts w:ascii="Times New Roman" w:hAnsi="Times New Roman" w:cs="Times New Roman"/>
          <w:sz w:val="28"/>
          <w:szCs w:val="28"/>
        </w:rPr>
        <w:t>инфракрасный  динамик</w:t>
      </w:r>
      <w:proofErr w:type="gramEnd"/>
      <w:r w:rsidRPr="00CF5235">
        <w:rPr>
          <w:rFonts w:ascii="Times New Roman" w:hAnsi="Times New Roman" w:cs="Times New Roman"/>
          <w:sz w:val="28"/>
          <w:szCs w:val="28"/>
        </w:rPr>
        <w:t>-усилитель, мобильный комплект аудиовизуальных и тактильных средств, специализированное оборудование для сенсорной комнаты, набор для повышения сенсорного восприятия, набор для развития коммуникативных навыков, говорящий фотоальбом, одеяло с утяжелением, комплексное приспособление входа  в здание, а также произведена установка поручней;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- в ОГКОУ школа-интернат № 91 были закуплены комплект оснащения для коррекционных занятий со слабовидящими обучающимися,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видеоувеличитель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с монитором, гусеничный лестничный подъемник, откидной пандус, интерактивное оборудование, а также произведена установка поручней на лестнич</w:t>
      </w:r>
      <w:r>
        <w:rPr>
          <w:rFonts w:ascii="Times New Roman" w:hAnsi="Times New Roman" w:cs="Times New Roman"/>
          <w:sz w:val="28"/>
          <w:szCs w:val="28"/>
        </w:rPr>
        <w:t>ных пролетах, замена входных</w:t>
      </w:r>
      <w:r w:rsidRPr="00CF5235">
        <w:rPr>
          <w:rFonts w:ascii="Times New Roman" w:hAnsi="Times New Roman" w:cs="Times New Roman"/>
          <w:sz w:val="28"/>
          <w:szCs w:val="28"/>
        </w:rPr>
        <w:t xml:space="preserve"> групп. </w:t>
      </w:r>
    </w:p>
    <w:p w:rsidR="00A46A97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4) Мероприятие 3.2. «Выплата денежного поощрения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- 300,0 тыс. рублей</w:t>
      </w:r>
      <w:r w:rsidRPr="00CF5235">
        <w:rPr>
          <w:rFonts w:ascii="Times New Roman" w:hAnsi="Times New Roman" w:cs="Times New Roman"/>
          <w:sz w:val="28"/>
          <w:szCs w:val="28"/>
        </w:rPr>
        <w:t xml:space="preserve">. Средства не освоены в связи с тем, что в декабре 2017 года не были санкционированы заявки на оплату расходов. 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5) Мероприятие 4.1. «Предоставление субсидий из областного бюджета бюджетам муниципальных образований в целях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осуществлением капитального ремонта, ликвидацией аварийной ситуации в зданиях муниципальных общеобразовательных организаций, приобретением оборудования, в том числе оборудования, обеспечивающего антитеррористическую защищённость указанных </w:t>
      </w:r>
      <w:proofErr w:type="gramStart"/>
      <w:r w:rsidRPr="00CF5235">
        <w:rPr>
          <w:rFonts w:ascii="Times New Roman" w:hAnsi="Times New Roman" w:cs="Times New Roman"/>
          <w:sz w:val="28"/>
          <w:szCs w:val="28"/>
        </w:rPr>
        <w:t>организаций »</w:t>
      </w:r>
      <w:proofErr w:type="gramEnd"/>
      <w:r w:rsidRPr="00CF52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F5235">
        <w:rPr>
          <w:rFonts w:ascii="Times New Roman" w:hAnsi="Times New Roman" w:cs="Times New Roman"/>
          <w:sz w:val="28"/>
          <w:szCs w:val="28"/>
        </w:rPr>
        <w:t xml:space="preserve"> всего 86 496,58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5235">
        <w:rPr>
          <w:rFonts w:ascii="Times New Roman" w:hAnsi="Times New Roman" w:cs="Times New Roman"/>
          <w:sz w:val="28"/>
          <w:szCs w:val="28"/>
        </w:rPr>
        <w:t xml:space="preserve"> из них освоено 85 183,82967 тыс. руб</w:t>
      </w:r>
      <w:r>
        <w:rPr>
          <w:rFonts w:ascii="Times New Roman" w:hAnsi="Times New Roman" w:cs="Times New Roman"/>
          <w:sz w:val="28"/>
          <w:szCs w:val="28"/>
        </w:rPr>
        <w:t>лей (</w:t>
      </w:r>
      <w:r w:rsidRPr="00CF5235">
        <w:rPr>
          <w:rFonts w:ascii="Times New Roman" w:hAnsi="Times New Roman" w:cs="Times New Roman"/>
          <w:sz w:val="28"/>
          <w:szCs w:val="28"/>
        </w:rPr>
        <w:t xml:space="preserve">98,5 </w:t>
      </w:r>
      <w:proofErr w:type="gramStart"/>
      <w:r w:rsidRPr="00CF5235">
        <w:rPr>
          <w:rFonts w:ascii="Times New Roman" w:hAnsi="Times New Roman" w:cs="Times New Roman"/>
          <w:sz w:val="28"/>
          <w:szCs w:val="28"/>
        </w:rPr>
        <w:t>%)  в</w:t>
      </w:r>
      <w:proofErr w:type="gramEnd"/>
      <w:r w:rsidRPr="00CF5235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A46A97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- 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Pr="00CF5235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>, жилищно-коммунального комплекса и транспорта Ульяновской области</w:t>
      </w:r>
      <w:r w:rsidRPr="00CF52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6A97" w:rsidRPr="00CF5235" w:rsidRDefault="00A46A97" w:rsidP="00F041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lastRenderedPageBreak/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F5235">
        <w:rPr>
          <w:rFonts w:ascii="Times New Roman" w:hAnsi="Times New Roman" w:cs="Times New Roman"/>
          <w:sz w:val="28"/>
          <w:szCs w:val="28"/>
        </w:rPr>
        <w:t xml:space="preserve"> 77 359,28 тыс. руб</w:t>
      </w:r>
      <w:r>
        <w:rPr>
          <w:rFonts w:ascii="Times New Roman" w:hAnsi="Times New Roman" w:cs="Times New Roman"/>
          <w:sz w:val="28"/>
          <w:szCs w:val="28"/>
        </w:rPr>
        <w:t>лей, о</w:t>
      </w:r>
      <w:r w:rsidRPr="00CF5235">
        <w:rPr>
          <w:rFonts w:ascii="Times New Roman" w:hAnsi="Times New Roman" w:cs="Times New Roman"/>
          <w:sz w:val="28"/>
          <w:szCs w:val="28"/>
        </w:rPr>
        <w:t xml:space="preserve">своено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235">
        <w:rPr>
          <w:rFonts w:ascii="Times New Roman" w:hAnsi="Times New Roman" w:cs="Times New Roman"/>
          <w:sz w:val="28"/>
          <w:szCs w:val="28"/>
        </w:rPr>
        <w:t xml:space="preserve"> 76 076,53959 тыс. </w:t>
      </w:r>
      <w:proofErr w:type="gramStart"/>
      <w:r w:rsidRPr="00CF5235">
        <w:rPr>
          <w:rFonts w:ascii="Times New Roman" w:hAnsi="Times New Roman" w:cs="Times New Roman"/>
          <w:sz w:val="28"/>
          <w:szCs w:val="28"/>
        </w:rPr>
        <w:t>рублей  (</w:t>
      </w:r>
      <w:proofErr w:type="gramEnd"/>
      <w:r w:rsidRPr="00CF5235">
        <w:rPr>
          <w:rFonts w:ascii="Times New Roman" w:hAnsi="Times New Roman" w:cs="Times New Roman"/>
          <w:sz w:val="28"/>
          <w:szCs w:val="28"/>
        </w:rPr>
        <w:t>98,3 %)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A97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- Министерство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науки Ульяновской области</w:t>
      </w:r>
      <w:r w:rsidRPr="00CF523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46A97" w:rsidRPr="00CF5235" w:rsidRDefault="00A46A97" w:rsidP="00F041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- 9 137,</w:t>
      </w:r>
      <w:proofErr w:type="gramStart"/>
      <w:r>
        <w:rPr>
          <w:rFonts w:ascii="Times New Roman" w:hAnsi="Times New Roman" w:cs="Times New Roman"/>
          <w:sz w:val="28"/>
          <w:szCs w:val="28"/>
        </w:rPr>
        <w:t>3  тыс.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о</w:t>
      </w:r>
      <w:r w:rsidRPr="00CF5235">
        <w:rPr>
          <w:rFonts w:ascii="Times New Roman" w:hAnsi="Times New Roman" w:cs="Times New Roman"/>
          <w:sz w:val="28"/>
          <w:szCs w:val="28"/>
        </w:rPr>
        <w:t xml:space="preserve">своено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5235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107,29008</w:t>
      </w:r>
      <w:r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Pr="00CF5235">
        <w:rPr>
          <w:rFonts w:ascii="Times New Roman" w:hAnsi="Times New Roman" w:cs="Times New Roman"/>
          <w:sz w:val="28"/>
          <w:szCs w:val="28"/>
        </w:rPr>
        <w:t>99,7 %).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Субсидия предоставлялась следующим муниципальным образованиям: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- Радищевский район - для проведения ремонта спортивного зала в МОУ «Радищевская СОШ № 2»;</w:t>
      </w:r>
      <w:r w:rsidRPr="00CF5235">
        <w:rPr>
          <w:rFonts w:ascii="Times New Roman" w:hAnsi="Times New Roman" w:cs="Times New Roman"/>
          <w:sz w:val="28"/>
          <w:szCs w:val="28"/>
        </w:rPr>
        <w:tab/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235">
        <w:rPr>
          <w:rFonts w:ascii="Times New Roman" w:hAnsi="Times New Roman" w:cs="Times New Roman"/>
          <w:sz w:val="28"/>
          <w:szCs w:val="28"/>
        </w:rPr>
        <w:t>район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для проведения замены системы отопления, ремонта внутренних помещений, ремонта входной группы, ремонта актового зала, электромонтажных работ в  МОУ «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Тушнинская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СОШ»; для проведения ремонта кровли основного здания в МОУ «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Силикатненская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Майнски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для проведения ремонта спортивного зала в МОУ «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Игнатовская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- Павловский </w:t>
      </w:r>
      <w:proofErr w:type="gramStart"/>
      <w:r w:rsidRPr="00CF5235">
        <w:rPr>
          <w:rFonts w:ascii="Times New Roman" w:hAnsi="Times New Roman" w:cs="Times New Roman"/>
          <w:sz w:val="28"/>
          <w:szCs w:val="28"/>
        </w:rPr>
        <w:t>район  -</w:t>
      </w:r>
      <w:proofErr w:type="gramEnd"/>
      <w:r w:rsidRPr="00CF5235">
        <w:rPr>
          <w:rFonts w:ascii="Times New Roman" w:hAnsi="Times New Roman" w:cs="Times New Roman"/>
          <w:sz w:val="28"/>
          <w:szCs w:val="28"/>
        </w:rPr>
        <w:tab/>
        <w:t>для проведения</w:t>
      </w:r>
      <w:r w:rsidRPr="00CF5235">
        <w:rPr>
          <w:rFonts w:ascii="Times New Roman" w:hAnsi="Times New Roman" w:cs="Times New Roman"/>
          <w:sz w:val="28"/>
          <w:szCs w:val="28"/>
        </w:rPr>
        <w:tab/>
        <w:t>замены оконных блоков, ремонта спортивного зала и крыльца в МОУ «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Холстовская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СОШ»;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для проведения замены оконных блоков в спортивном зале, ремонта отопительной системы в МОУ «Павловская СОШ №1»;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Цильнинский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район - для проведения ремонта кровли в МОУ «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Кундюковская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СОШ»; для проведения замены оконных блоков в МОУ «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Большенагаткинская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СОШ»; для проведения ремонта кровли в МОУ «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Верхнетимерсянская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Новомалыклинский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район -  для проведения капитального ремонта и усиления строительных конструкций, ремонтных работ внутренних помещений здания школы, благоустройства территории, ремонта фасада МОУ «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Среднесан</w:t>
      </w:r>
      <w:r>
        <w:rPr>
          <w:rFonts w:ascii="Times New Roman" w:hAnsi="Times New Roman" w:cs="Times New Roman"/>
          <w:sz w:val="28"/>
          <w:szCs w:val="28"/>
        </w:rPr>
        <w:t>тимирская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Pr="00CF5235">
        <w:rPr>
          <w:rFonts w:ascii="Times New Roman" w:hAnsi="Times New Roman" w:cs="Times New Roman"/>
          <w:sz w:val="28"/>
          <w:szCs w:val="28"/>
        </w:rPr>
        <w:t>; для проведения замены оконных блоков в МОУ «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Новомалыклинская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-</w:t>
      </w:r>
      <w:r w:rsidRPr="00CF5235">
        <w:rPr>
          <w:rFonts w:ascii="Times New Roman" w:hAnsi="Times New Roman" w:cs="Times New Roman"/>
          <w:sz w:val="28"/>
          <w:szCs w:val="28"/>
        </w:rPr>
        <w:t xml:space="preserve"> для проведения ремонта кровли в МОУ СОШ г. Барыш № 3; для проведения ремонта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>, цоколя, крылец, электропроводки в здании пищеблока, замены оконных и дверных блоков в МОУ «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Старотимошкинская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СОШ»; 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Инзенский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район - для проведения капитального ремонта начального блока со спортивным залом, ремонта кровли и перекрытий, фасада здания школы в МОУ «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Инзенская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СОШ № 2»; </w:t>
      </w:r>
      <w:r w:rsidRPr="00CF523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район - для проведения ремонта кровли над спортивным залом, ремонта входной группы в МОУ СОШ с. Никольское-на-Черемшане;</w:t>
      </w:r>
      <w:r w:rsidRPr="00CF5235">
        <w:rPr>
          <w:rFonts w:ascii="Times New Roman" w:hAnsi="Times New Roman" w:cs="Times New Roman"/>
          <w:sz w:val="28"/>
          <w:szCs w:val="28"/>
        </w:rPr>
        <w:tab/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- г.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Новоульяновск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- для проведения замены оконных блоков в МОУ «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Криушинская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СШ»;</w:t>
      </w:r>
      <w:r w:rsidRPr="00CF5235">
        <w:rPr>
          <w:rFonts w:ascii="Times New Roman" w:hAnsi="Times New Roman" w:cs="Times New Roman"/>
          <w:sz w:val="28"/>
          <w:szCs w:val="28"/>
        </w:rPr>
        <w:tab/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- г. Димитровград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5235">
        <w:rPr>
          <w:rFonts w:ascii="Times New Roman" w:hAnsi="Times New Roman" w:cs="Times New Roman"/>
          <w:sz w:val="28"/>
          <w:szCs w:val="28"/>
        </w:rPr>
        <w:t xml:space="preserve"> для проведения ремонта кровли в МОУ СОШ № </w:t>
      </w:r>
      <w:proofErr w:type="gramStart"/>
      <w:r w:rsidRPr="00CF523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F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ремонтных работ</w:t>
      </w:r>
      <w:r w:rsidRPr="00CF5235">
        <w:rPr>
          <w:rFonts w:ascii="Times New Roman" w:hAnsi="Times New Roman" w:cs="Times New Roman"/>
          <w:sz w:val="28"/>
          <w:szCs w:val="28"/>
        </w:rPr>
        <w:t xml:space="preserve"> в СОШ №16 и городской гимназии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Димитровград;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lastRenderedPageBreak/>
        <w:t>-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 xml:space="preserve">Ульяновск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F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проведения</w:t>
      </w:r>
      <w:r w:rsidRPr="00CF5235">
        <w:rPr>
          <w:rFonts w:ascii="Times New Roman" w:hAnsi="Times New Roman" w:cs="Times New Roman"/>
          <w:sz w:val="28"/>
          <w:szCs w:val="28"/>
        </w:rPr>
        <w:t xml:space="preserve"> ремонтных работ в МБОУ «Городская гимназия №13»;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Базарносызганский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- для проведения замены</w:t>
      </w:r>
      <w:r w:rsidRPr="00CF5235">
        <w:rPr>
          <w:rFonts w:ascii="Times New Roman" w:hAnsi="Times New Roman" w:cs="Times New Roman"/>
          <w:sz w:val="28"/>
          <w:szCs w:val="28"/>
        </w:rPr>
        <w:t xml:space="preserve"> оконных блоков в МКОУ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Базарносызганской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средней школы №2.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6) Мероприятие 4.2. «Предоставление субсидий из областного бюджета бюджетам муниципальных образований в целях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приобретением школьных автобусов»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235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946,4 тыс. рублей (</w:t>
      </w:r>
      <w:r w:rsidRPr="00CF5235">
        <w:rPr>
          <w:rFonts w:ascii="Times New Roman" w:hAnsi="Times New Roman" w:cs="Times New Roman"/>
          <w:sz w:val="28"/>
          <w:szCs w:val="28"/>
        </w:rPr>
        <w:t>средства областного бюджета). Освоено 100%.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Субсидия направлена для приобретения школьных </w:t>
      </w:r>
      <w:proofErr w:type="gramStart"/>
      <w:r w:rsidRPr="00CF5235">
        <w:rPr>
          <w:rFonts w:ascii="Times New Roman" w:hAnsi="Times New Roman" w:cs="Times New Roman"/>
          <w:sz w:val="28"/>
          <w:szCs w:val="28"/>
        </w:rPr>
        <w:t>автобусов  в</w:t>
      </w:r>
      <w:proofErr w:type="gramEnd"/>
      <w:r w:rsidRPr="00CF5235">
        <w:rPr>
          <w:rFonts w:ascii="Times New Roman" w:hAnsi="Times New Roman" w:cs="Times New Roman"/>
          <w:sz w:val="28"/>
          <w:szCs w:val="28"/>
        </w:rPr>
        <w:t xml:space="preserve"> следующие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5235">
        <w:rPr>
          <w:rFonts w:ascii="Times New Roman" w:hAnsi="Times New Roman" w:cs="Times New Roman"/>
          <w:sz w:val="28"/>
          <w:szCs w:val="28"/>
        </w:rPr>
        <w:t xml:space="preserve"> образования :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район, Никола</w:t>
      </w:r>
      <w:r>
        <w:rPr>
          <w:rFonts w:ascii="Times New Roman" w:hAnsi="Times New Roman" w:cs="Times New Roman"/>
          <w:sz w:val="28"/>
          <w:szCs w:val="28"/>
        </w:rPr>
        <w:t xml:space="preserve">евский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Новомалыклинский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 xml:space="preserve">район, Павловский район,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Старокулаткинский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Старомаинский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Тереньгульский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Ульян</w:t>
      </w:r>
      <w:r>
        <w:rPr>
          <w:rFonts w:ascii="Times New Roman" w:hAnsi="Times New Roman" w:cs="Times New Roman"/>
          <w:sz w:val="28"/>
          <w:szCs w:val="28"/>
        </w:rPr>
        <w:t xml:space="preserve">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F52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A46A97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7) Мероприятие 4.3. «Предоставление субсидий из областного бюджета бюджетам муниципальных образований в целях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созданием в общеобразовательных организациях, расположенных в сельской местности, условий для занятий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523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23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421,3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5235">
        <w:rPr>
          <w:rFonts w:ascii="Times New Roman" w:hAnsi="Times New Roman" w:cs="Times New Roman"/>
          <w:sz w:val="28"/>
          <w:szCs w:val="28"/>
        </w:rPr>
        <w:t xml:space="preserve"> из них средства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F5235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369,1 тыс. рублей, средства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F5235">
        <w:rPr>
          <w:rFonts w:ascii="Times New Roman" w:hAnsi="Times New Roman" w:cs="Times New Roman"/>
          <w:sz w:val="28"/>
          <w:szCs w:val="28"/>
        </w:rPr>
        <w:t xml:space="preserve"> 5 052,20 тыс. рублей. Из них освоено 100%.</w:t>
      </w:r>
    </w:p>
    <w:p w:rsidR="00A46A97" w:rsidRPr="00CF5235" w:rsidRDefault="00A46A97" w:rsidP="00092E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Субсидия предоставлялась следующим муниципальным образованиям: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Базарносызганский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Вешкаймский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Инзенский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Кузоватовский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район, Новоспасский район, Николаевский район, Радищевский район,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Старокулаткинский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Цильнинский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район, Ульяновский район,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район,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Новоульяновск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г.Ульяновск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>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Согласно перечню мероприятий по созданию условий для занятий физической культурой и спортом в 2017 году отремонтированы </w:t>
      </w:r>
      <w:r w:rsidRPr="00CF5235">
        <w:rPr>
          <w:rFonts w:ascii="Times New Roman" w:hAnsi="Times New Roman" w:cs="Times New Roman"/>
          <w:sz w:val="28"/>
          <w:szCs w:val="28"/>
        </w:rPr>
        <w:br/>
        <w:t>10 спортивных залов, оснащены спортивным оборудованием и инвентарём 10 многофункциональных спортивных площадок для подготовки и выполнения норм комплекса ГТО;  созданы и развиваются 10 школьных спортивных клубов.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Проведён конкурс по отбору общеобразовательных организаций на получение субсидий для реализации перечня мероприятий по созданию условий для занятий физической культурой и спортом в сельских школах в 2017 году. 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lastRenderedPageBreak/>
        <w:t>Согласно перечн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F5235">
        <w:rPr>
          <w:rFonts w:ascii="Times New Roman" w:hAnsi="Times New Roman" w:cs="Times New Roman"/>
          <w:sz w:val="28"/>
          <w:szCs w:val="28"/>
        </w:rPr>
        <w:t xml:space="preserve"> мероприятий по созданию в общеобразовательных организациях, расположенных в сельской местности на территории Ульяновской области, условий для занятия физической культурой и спортом выполнены следующие работы: устройство полов из ПВХ покрытия; замена освещения на светодиодное; установка мягких стеновых протекторов; косметический ремонт стен и потолков; приобретение инжинирингового и спортивного оборудования в спортивный зал; приобретение мебели в раздевалки, ремонт и обустройство санузлов и душевых комнат. В рамках оснащения спортивным инвентарем и оборудованием открытых плоскостных сооружений выполнены работы по установке уличных гимнастических городков для подготовки к выполнению норм комплекса ВФСК ГТО. Так же общеобразовательными организациями приобретен спортивный инвентарь на развитие школьного спортивного клуба.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На 31.12.2017 все спортивные залы отремонтированы, спортивный инвентарь для школьных клубов поставлен, площадки оснащены инвентарём. 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7) Мероприятие 5.1. «Предоставление субсидий из областного бюджета бюджетам муниципальных образований в целях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осуществлением ремонта, ликвидацией аварийной ситуации в зданиях и сооружениях муниципальных дошкольных образовательных организаций, с устройством внутридомовых сооружений, благоустройством территорий, приобретением и установкой оборудования, в том числе оборудования, обеспечивающего антитеррористическую защищённость».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235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 xml:space="preserve">320,96 тыс. </w:t>
      </w:r>
      <w:proofErr w:type="gramStart"/>
      <w:r w:rsidRPr="00CF5235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5235">
        <w:rPr>
          <w:rFonts w:ascii="Times New Roman" w:hAnsi="Times New Roman" w:cs="Times New Roman"/>
          <w:sz w:val="28"/>
          <w:szCs w:val="28"/>
        </w:rPr>
        <w:t xml:space="preserve">  из</w:t>
      </w:r>
      <w:proofErr w:type="gramEnd"/>
      <w:r w:rsidRPr="00CF5235">
        <w:rPr>
          <w:rFonts w:ascii="Times New Roman" w:hAnsi="Times New Roman" w:cs="Times New Roman"/>
          <w:sz w:val="28"/>
          <w:szCs w:val="28"/>
        </w:rPr>
        <w:t xml:space="preserve"> них освоено 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206,5 тыс. рублей,  что со</w:t>
      </w:r>
      <w:r>
        <w:rPr>
          <w:rFonts w:ascii="Times New Roman" w:hAnsi="Times New Roman" w:cs="Times New Roman"/>
          <w:sz w:val="28"/>
          <w:szCs w:val="28"/>
        </w:rPr>
        <w:t>ставляет</w:t>
      </w:r>
      <w:r w:rsidRPr="00CF5235">
        <w:rPr>
          <w:rFonts w:ascii="Times New Roman" w:hAnsi="Times New Roman" w:cs="Times New Roman"/>
          <w:sz w:val="28"/>
          <w:szCs w:val="28"/>
        </w:rPr>
        <w:t xml:space="preserve"> 99,7% в том числе:</w:t>
      </w:r>
    </w:p>
    <w:p w:rsidR="00A46A97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Pr="00CF5235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>, жилищно-коммунального комплекса и транспорта Ульяновской области</w:t>
      </w:r>
      <w:r w:rsidRPr="00CF52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6A97" w:rsidRPr="00CF5235" w:rsidRDefault="00A46A97" w:rsidP="00A273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F5235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894,76 тыс. рублей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CF5235">
        <w:rPr>
          <w:rFonts w:ascii="Times New Roman" w:hAnsi="Times New Roman" w:cs="Times New Roman"/>
          <w:sz w:val="28"/>
          <w:szCs w:val="28"/>
        </w:rPr>
        <w:t>своено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F5235">
        <w:rPr>
          <w:rFonts w:ascii="Times New Roman" w:hAnsi="Times New Roman" w:cs="Times New Roman"/>
          <w:sz w:val="28"/>
          <w:szCs w:val="28"/>
        </w:rPr>
        <w:t xml:space="preserve"> 32</w:t>
      </w:r>
      <w:r>
        <w:rPr>
          <w:rFonts w:ascii="Times New Roman" w:hAnsi="Times New Roman" w:cs="Times New Roman"/>
          <w:sz w:val="28"/>
          <w:szCs w:val="28"/>
        </w:rPr>
        <w:t xml:space="preserve"> 780,29216 тыс. рублей (</w:t>
      </w:r>
      <w:r w:rsidRPr="00CF5235">
        <w:rPr>
          <w:rFonts w:ascii="Times New Roman" w:hAnsi="Times New Roman" w:cs="Times New Roman"/>
          <w:sz w:val="28"/>
          <w:szCs w:val="28"/>
        </w:rPr>
        <w:t>99,7%)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A97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-</w:t>
      </w:r>
      <w:r w:rsidRPr="00A273BE"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науки Ульяновской области:</w:t>
      </w:r>
      <w:r w:rsidRPr="00CF5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A97" w:rsidRPr="00CF5235" w:rsidRDefault="00A46A97" w:rsidP="00A273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F5235">
        <w:rPr>
          <w:rFonts w:ascii="Times New Roman" w:hAnsi="Times New Roman" w:cs="Times New Roman"/>
          <w:sz w:val="28"/>
          <w:szCs w:val="28"/>
        </w:rPr>
        <w:t>426,2 тыс. рублей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CF5235">
        <w:rPr>
          <w:rFonts w:ascii="Times New Roman" w:hAnsi="Times New Roman" w:cs="Times New Roman"/>
          <w:sz w:val="28"/>
          <w:szCs w:val="28"/>
        </w:rPr>
        <w:t>своено 100 %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Субсидия предоставлялась следующим муниципальным образованиям: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район - для проведения ремонта инженерных сетей в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Сенгилеевском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детском саду;</w:t>
      </w:r>
      <w:r w:rsidRPr="00CF5235">
        <w:rPr>
          <w:rFonts w:ascii="Times New Roman" w:hAnsi="Times New Roman" w:cs="Times New Roman"/>
          <w:sz w:val="28"/>
          <w:szCs w:val="28"/>
        </w:rPr>
        <w:tab/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район - для проведения</w:t>
      </w:r>
      <w:r w:rsidRPr="00CF5235">
        <w:rPr>
          <w:rFonts w:ascii="Times New Roman" w:hAnsi="Times New Roman" w:cs="Times New Roman"/>
          <w:sz w:val="28"/>
          <w:szCs w:val="28"/>
        </w:rPr>
        <w:tab/>
        <w:t xml:space="preserve">строительных работ (внутренняя отделка, замена противопожарных лестниц, ремонт цоколя) в МДОУ № 2 «Солнышко»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>. Чердаклы;</w:t>
      </w:r>
      <w:r w:rsidRPr="00CF5235">
        <w:rPr>
          <w:rFonts w:ascii="Times New Roman" w:hAnsi="Times New Roman" w:cs="Times New Roman"/>
          <w:sz w:val="28"/>
          <w:szCs w:val="28"/>
        </w:rPr>
        <w:tab/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Тереньгульский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- для проведения ремонта крыльца, тамбурных помещений, ремонта системы отопления, ремонта кровли над тамбурными помещениям</w:t>
      </w:r>
      <w:r>
        <w:rPr>
          <w:rFonts w:ascii="Times New Roman" w:hAnsi="Times New Roman" w:cs="Times New Roman"/>
          <w:sz w:val="28"/>
          <w:szCs w:val="28"/>
        </w:rPr>
        <w:t xml:space="preserve">и, ремонта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ливнёвой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канализации;</w:t>
      </w:r>
      <w:r w:rsidRPr="00CF5235">
        <w:rPr>
          <w:rFonts w:ascii="Times New Roman" w:hAnsi="Times New Roman" w:cs="Times New Roman"/>
          <w:sz w:val="28"/>
          <w:szCs w:val="28"/>
        </w:rPr>
        <w:t xml:space="preserve"> приобретения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снегозадержателей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lastRenderedPageBreak/>
        <w:t xml:space="preserve">в МДОУ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Подкуровский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детский сад «Жемчужинка»</w:t>
      </w:r>
      <w:r>
        <w:rPr>
          <w:rFonts w:ascii="Times New Roman" w:hAnsi="Times New Roman" w:cs="Times New Roman"/>
          <w:sz w:val="28"/>
          <w:szCs w:val="28"/>
        </w:rPr>
        <w:t xml:space="preserve"> (ГРБС- Министерство образования)</w:t>
      </w:r>
      <w:r w:rsidRPr="00CF5235">
        <w:rPr>
          <w:rFonts w:ascii="Times New Roman" w:hAnsi="Times New Roman" w:cs="Times New Roman"/>
          <w:sz w:val="28"/>
          <w:szCs w:val="28"/>
        </w:rPr>
        <w:t>;</w:t>
      </w:r>
      <w:r w:rsidRPr="00CF5235">
        <w:rPr>
          <w:rFonts w:ascii="Times New Roman" w:hAnsi="Times New Roman" w:cs="Times New Roman"/>
          <w:sz w:val="28"/>
          <w:szCs w:val="28"/>
        </w:rPr>
        <w:tab/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- г.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Новоульяновск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- для проведения капитального ремонта Детского сада «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>»;</w:t>
      </w:r>
      <w:r w:rsidRPr="00CF5235">
        <w:rPr>
          <w:rFonts w:ascii="Times New Roman" w:hAnsi="Times New Roman" w:cs="Times New Roman"/>
          <w:sz w:val="28"/>
          <w:szCs w:val="28"/>
        </w:rPr>
        <w:tab/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г.Димитровград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- для проведения замены оконных блоков в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д.с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. № 52; для проведения замены оконных </w:t>
      </w:r>
      <w:proofErr w:type="gramStart"/>
      <w:r w:rsidRPr="00CF5235">
        <w:rPr>
          <w:rFonts w:ascii="Times New Roman" w:hAnsi="Times New Roman" w:cs="Times New Roman"/>
          <w:sz w:val="28"/>
          <w:szCs w:val="28"/>
        </w:rPr>
        <w:t xml:space="preserve">блоков 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д.с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5235">
        <w:rPr>
          <w:rFonts w:ascii="Times New Roman" w:hAnsi="Times New Roman" w:cs="Times New Roman"/>
          <w:sz w:val="28"/>
          <w:szCs w:val="28"/>
        </w:rPr>
        <w:t xml:space="preserve"> № 6;</w:t>
      </w:r>
      <w:r w:rsidRPr="00CF5235">
        <w:rPr>
          <w:rFonts w:ascii="Times New Roman" w:hAnsi="Times New Roman" w:cs="Times New Roman"/>
          <w:sz w:val="28"/>
          <w:szCs w:val="28"/>
        </w:rPr>
        <w:tab/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-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 xml:space="preserve">Ульяновск - для проведения капитального </w:t>
      </w:r>
      <w:proofErr w:type="gramStart"/>
      <w:r w:rsidRPr="00CF5235">
        <w:rPr>
          <w:rFonts w:ascii="Times New Roman" w:hAnsi="Times New Roman" w:cs="Times New Roman"/>
          <w:sz w:val="28"/>
          <w:szCs w:val="28"/>
        </w:rPr>
        <w:t xml:space="preserve">ремонта 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д.с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5235">
        <w:rPr>
          <w:rFonts w:ascii="Times New Roman" w:hAnsi="Times New Roman" w:cs="Times New Roman"/>
          <w:sz w:val="28"/>
          <w:szCs w:val="28"/>
        </w:rPr>
        <w:t xml:space="preserve"> б-р Львовский.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8) Мероприятие «5.4. Предоставление субсидий из областного бюджета бюджетам муниципальных образований в целях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осуществлением строительства зданий,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к зданиям дошкольных образовательных организаций, устройством внутридомовых сооружений, благоустройством территорий, приобретением и установкой оборудования».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122765,95 тыс. рублей</w:t>
      </w:r>
      <w:r w:rsidRPr="00CF5235">
        <w:rPr>
          <w:rFonts w:ascii="Times New Roman" w:hAnsi="Times New Roman" w:cs="Times New Roman"/>
          <w:sz w:val="28"/>
          <w:szCs w:val="28"/>
        </w:rPr>
        <w:t>, факт -  115237,7462900   тыс. рублей</w:t>
      </w:r>
      <w:r>
        <w:rPr>
          <w:rFonts w:ascii="Times New Roman" w:hAnsi="Times New Roman" w:cs="Times New Roman"/>
          <w:sz w:val="28"/>
          <w:szCs w:val="28"/>
        </w:rPr>
        <w:t>.  Что составляет 93,8</w:t>
      </w:r>
      <w:proofErr w:type="gramStart"/>
      <w:r>
        <w:rPr>
          <w:rFonts w:ascii="Times New Roman" w:hAnsi="Times New Roman" w:cs="Times New Roman"/>
          <w:sz w:val="28"/>
          <w:szCs w:val="28"/>
        </w:rPr>
        <w:t>%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них</w:t>
      </w:r>
      <w:r w:rsidRPr="00CF5235">
        <w:rPr>
          <w:rFonts w:ascii="Times New Roman" w:hAnsi="Times New Roman" w:cs="Times New Roman"/>
          <w:sz w:val="28"/>
          <w:szCs w:val="28"/>
        </w:rPr>
        <w:t>:</w:t>
      </w:r>
    </w:p>
    <w:p w:rsidR="00A46A97" w:rsidRDefault="00A46A97" w:rsidP="00A273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промышленности, </w:t>
      </w:r>
      <w:r w:rsidRPr="00CF5235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>, жилищно-коммунального комплекса и транспорта Ульяновской области</w:t>
      </w:r>
      <w:r w:rsidRPr="00CF52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6A97" w:rsidRPr="00CF5235" w:rsidRDefault="00A46A97" w:rsidP="00A273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F5235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359,81 тыс. рублей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CF5235">
        <w:rPr>
          <w:rFonts w:ascii="Times New Roman" w:hAnsi="Times New Roman" w:cs="Times New Roman"/>
          <w:sz w:val="28"/>
          <w:szCs w:val="28"/>
        </w:rPr>
        <w:t>своено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F5235">
        <w:rPr>
          <w:rFonts w:ascii="Times New Roman" w:hAnsi="Times New Roman" w:cs="Times New Roman"/>
          <w:sz w:val="28"/>
          <w:szCs w:val="28"/>
        </w:rPr>
        <w:t xml:space="preserve"> 91</w:t>
      </w:r>
      <w:r>
        <w:rPr>
          <w:rFonts w:ascii="Times New Roman" w:hAnsi="Times New Roman" w:cs="Times New Roman"/>
          <w:sz w:val="28"/>
          <w:szCs w:val="28"/>
        </w:rPr>
        <w:t xml:space="preserve"> 635.24942 тыс. рублей (</w:t>
      </w:r>
      <w:r w:rsidRPr="00CF5235">
        <w:rPr>
          <w:rFonts w:ascii="Times New Roman" w:hAnsi="Times New Roman" w:cs="Times New Roman"/>
          <w:sz w:val="28"/>
          <w:szCs w:val="28"/>
        </w:rPr>
        <w:t>94,1%)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A97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 xml:space="preserve">Министерство образования </w:t>
      </w:r>
      <w:r>
        <w:rPr>
          <w:rFonts w:ascii="Times New Roman" w:hAnsi="Times New Roman" w:cs="Times New Roman"/>
          <w:sz w:val="28"/>
          <w:szCs w:val="28"/>
        </w:rPr>
        <w:t>и науки Ульяновской области:</w:t>
      </w:r>
    </w:p>
    <w:p w:rsidR="00A46A97" w:rsidRPr="00CF5235" w:rsidRDefault="00A46A97" w:rsidP="00A273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F523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406,14 тыс. рублей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CF5235">
        <w:rPr>
          <w:rFonts w:ascii="Times New Roman" w:hAnsi="Times New Roman" w:cs="Times New Roman"/>
          <w:sz w:val="28"/>
          <w:szCs w:val="28"/>
        </w:rPr>
        <w:t>своено 23</w:t>
      </w:r>
      <w:r w:rsidRPr="00285F70"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602.49687 (92,9 %)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Субсидия предоставлена следующим муниципальным образованиям: 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-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 xml:space="preserve">Димитровград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235">
        <w:rPr>
          <w:rFonts w:ascii="Times New Roman" w:hAnsi="Times New Roman" w:cs="Times New Roman"/>
          <w:sz w:val="28"/>
          <w:szCs w:val="28"/>
        </w:rPr>
        <w:t xml:space="preserve">для завершения строительства детского </w:t>
      </w:r>
      <w:proofErr w:type="gramStart"/>
      <w:r w:rsidRPr="00CF5235">
        <w:rPr>
          <w:rFonts w:ascii="Times New Roman" w:hAnsi="Times New Roman" w:cs="Times New Roman"/>
          <w:sz w:val="28"/>
          <w:szCs w:val="28"/>
        </w:rPr>
        <w:t>сада  и</w:t>
      </w:r>
      <w:proofErr w:type="gramEnd"/>
      <w:r w:rsidRPr="00CF5235">
        <w:rPr>
          <w:rFonts w:ascii="Times New Roman" w:hAnsi="Times New Roman" w:cs="Times New Roman"/>
          <w:sz w:val="28"/>
          <w:szCs w:val="28"/>
        </w:rPr>
        <w:t xml:space="preserve"> приобретение оборудования;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-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 xml:space="preserve">Барыш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235">
        <w:rPr>
          <w:rFonts w:ascii="Times New Roman" w:hAnsi="Times New Roman" w:cs="Times New Roman"/>
          <w:sz w:val="28"/>
          <w:szCs w:val="28"/>
        </w:rPr>
        <w:t>на продолжение работ по строительству детского сада;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- Новоспасский район - для проведения строительства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CF5235">
        <w:rPr>
          <w:rFonts w:ascii="Times New Roman" w:hAnsi="Times New Roman" w:cs="Times New Roman"/>
          <w:sz w:val="28"/>
          <w:szCs w:val="28"/>
        </w:rPr>
        <w:t>бассейном  в</w:t>
      </w:r>
      <w:proofErr w:type="gramEnd"/>
      <w:r w:rsidRPr="00CF5235">
        <w:rPr>
          <w:rFonts w:ascii="Times New Roman" w:hAnsi="Times New Roman" w:cs="Times New Roman"/>
          <w:sz w:val="28"/>
          <w:szCs w:val="28"/>
        </w:rPr>
        <w:t xml:space="preserve"> детском саду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 xml:space="preserve">Троицкий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Сунгур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>;</w:t>
      </w:r>
    </w:p>
    <w:p w:rsidR="00A46A97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9) Мероприятие 6.1. «Предоставление субсидий из областного бюджета бюджетам муниципальных образований в целях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осуществлением модернизации инфраструктуры общего образования (проведение капитального ремонта, реконструкции, строительства зданий,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к зданиям общеобразовательных организаций, приобретение (выкуп), в том числе оснащение новых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523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235">
        <w:rPr>
          <w:rFonts w:ascii="Times New Roman" w:hAnsi="Times New Roman" w:cs="Times New Roman"/>
          <w:sz w:val="28"/>
          <w:szCs w:val="28"/>
        </w:rPr>
        <w:t>118 401,2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F5235">
        <w:rPr>
          <w:rFonts w:ascii="Times New Roman" w:hAnsi="Times New Roman" w:cs="Times New Roman"/>
          <w:sz w:val="28"/>
          <w:szCs w:val="28"/>
        </w:rPr>
        <w:t>Освоено 100%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lastRenderedPageBreak/>
        <w:t xml:space="preserve">Субсидия направлена на выкуп </w:t>
      </w:r>
      <w:proofErr w:type="gramStart"/>
      <w:r w:rsidRPr="00CF5235">
        <w:rPr>
          <w:rFonts w:ascii="Times New Roman" w:hAnsi="Times New Roman" w:cs="Times New Roman"/>
          <w:sz w:val="28"/>
          <w:szCs w:val="28"/>
        </w:rPr>
        <w:t>здания  и</w:t>
      </w:r>
      <w:proofErr w:type="gramEnd"/>
      <w:r w:rsidRPr="00CF5235">
        <w:rPr>
          <w:rFonts w:ascii="Times New Roman" w:hAnsi="Times New Roman" w:cs="Times New Roman"/>
          <w:sz w:val="28"/>
          <w:szCs w:val="28"/>
        </w:rPr>
        <w:t xml:space="preserve"> приобретение  оборудования  в общеобразовательной организации в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>. Кузоватово, МО «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Кузоватовский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A46A97" w:rsidRDefault="00A46A97" w:rsidP="00285F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A97" w:rsidRDefault="00A46A97" w:rsidP="00285F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A97" w:rsidRPr="00CF5235" w:rsidRDefault="00A46A97" w:rsidP="00285F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235"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среднего профессионального образования в Ульяновской области»</w:t>
      </w:r>
    </w:p>
    <w:p w:rsidR="00A46A97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1) Мероприятие 1.1. «Разработка и распространение в системах среднего профессионального и высшего образования новых образовательных технологий, форм организации образовательного процесса в рамках реализации Федеральной целевой программы развития образования на 2016 - 2020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F5235">
        <w:rPr>
          <w:rFonts w:ascii="Times New Roman" w:hAnsi="Times New Roman" w:cs="Times New Roman"/>
          <w:sz w:val="28"/>
          <w:szCs w:val="28"/>
        </w:rPr>
        <w:t xml:space="preserve">сего по плану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235">
        <w:rPr>
          <w:rFonts w:ascii="Times New Roman" w:hAnsi="Times New Roman" w:cs="Times New Roman"/>
          <w:sz w:val="28"/>
          <w:szCs w:val="28"/>
        </w:rPr>
        <w:t>283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 xml:space="preserve">576,3 тыс. рублей, освоено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5235">
        <w:rPr>
          <w:rFonts w:ascii="Times New Roman" w:hAnsi="Times New Roman" w:cs="Times New Roman"/>
          <w:sz w:val="28"/>
          <w:szCs w:val="28"/>
        </w:rPr>
        <w:t xml:space="preserve"> 281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650,9148 тыс. руб</w:t>
      </w:r>
      <w:r>
        <w:rPr>
          <w:rFonts w:ascii="Times New Roman" w:hAnsi="Times New Roman" w:cs="Times New Roman"/>
          <w:sz w:val="28"/>
          <w:szCs w:val="28"/>
        </w:rPr>
        <w:t>лей, ч</w:t>
      </w:r>
      <w:r w:rsidRPr="00CF5235">
        <w:rPr>
          <w:rFonts w:ascii="Times New Roman" w:hAnsi="Times New Roman" w:cs="Times New Roman"/>
          <w:sz w:val="28"/>
          <w:szCs w:val="28"/>
        </w:rPr>
        <w:t>то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99,3% из них:</w:t>
      </w:r>
    </w:p>
    <w:p w:rsidR="00A46A97" w:rsidRDefault="00A46A97" w:rsidP="00285F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-</w:t>
      </w:r>
      <w:r w:rsidRPr="00285F70"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Pr="00CF5235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>, жилищно-коммунального комплекса и транспорта Ульяновской области</w:t>
      </w:r>
      <w:r w:rsidRPr="00CF52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6A97" w:rsidRPr="00CF5235" w:rsidRDefault="00A46A97" w:rsidP="00285F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F5235">
        <w:rPr>
          <w:rFonts w:ascii="Times New Roman" w:hAnsi="Times New Roman" w:cs="Times New Roman"/>
          <w:sz w:val="28"/>
          <w:szCs w:val="28"/>
        </w:rPr>
        <w:t xml:space="preserve"> 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000,0 тыс. рублей (средства областного бюджета)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CF5235">
        <w:rPr>
          <w:rFonts w:ascii="Times New Roman" w:hAnsi="Times New Roman" w:cs="Times New Roman"/>
          <w:sz w:val="28"/>
          <w:szCs w:val="28"/>
        </w:rPr>
        <w:t xml:space="preserve">своено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235">
        <w:rPr>
          <w:rFonts w:ascii="Times New Roman" w:hAnsi="Times New Roman" w:cs="Times New Roman"/>
          <w:sz w:val="28"/>
          <w:szCs w:val="28"/>
        </w:rPr>
        <w:t>148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074</w:t>
      </w:r>
      <w:r>
        <w:rPr>
          <w:rFonts w:ascii="Times New Roman" w:hAnsi="Times New Roman" w:cs="Times New Roman"/>
          <w:sz w:val="28"/>
          <w:szCs w:val="28"/>
        </w:rPr>
        <w:t>,6148 тыс. рублей (</w:t>
      </w:r>
      <w:r w:rsidRPr="00CF5235">
        <w:rPr>
          <w:rFonts w:ascii="Times New Roman" w:hAnsi="Times New Roman" w:cs="Times New Roman"/>
          <w:sz w:val="28"/>
          <w:szCs w:val="28"/>
        </w:rPr>
        <w:t>98,7%)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A97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науки Ульяновской области: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F5235">
        <w:rPr>
          <w:rFonts w:ascii="Times New Roman" w:hAnsi="Times New Roman" w:cs="Times New Roman"/>
          <w:sz w:val="28"/>
          <w:szCs w:val="28"/>
        </w:rPr>
        <w:t>133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576,3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5235">
        <w:rPr>
          <w:rFonts w:ascii="Times New Roman" w:hAnsi="Times New Roman" w:cs="Times New Roman"/>
          <w:sz w:val="28"/>
          <w:szCs w:val="28"/>
        </w:rPr>
        <w:t xml:space="preserve"> Освоено 100%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5235">
        <w:rPr>
          <w:rFonts w:ascii="Times New Roman" w:hAnsi="Times New Roman" w:cs="Times New Roman"/>
          <w:sz w:val="28"/>
          <w:szCs w:val="28"/>
        </w:rPr>
        <w:t xml:space="preserve"> из них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F5235">
        <w:rPr>
          <w:rFonts w:ascii="Times New Roman" w:hAnsi="Times New Roman" w:cs="Times New Roman"/>
          <w:sz w:val="28"/>
          <w:szCs w:val="28"/>
        </w:rPr>
        <w:t xml:space="preserve"> областной бюджет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F5235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 xml:space="preserve">000,0 </w:t>
      </w:r>
      <w:r>
        <w:rPr>
          <w:rFonts w:ascii="Times New Roman" w:hAnsi="Times New Roman" w:cs="Times New Roman"/>
          <w:sz w:val="28"/>
          <w:szCs w:val="28"/>
        </w:rPr>
        <w:t>тыс. рублей,</w:t>
      </w:r>
      <w:r w:rsidRPr="00CF5235">
        <w:rPr>
          <w:rFonts w:ascii="Times New Roman" w:hAnsi="Times New Roman" w:cs="Times New Roman"/>
          <w:sz w:val="28"/>
          <w:szCs w:val="28"/>
        </w:rPr>
        <w:t xml:space="preserve"> федеральный бюджет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F5235">
        <w:rPr>
          <w:rFonts w:ascii="Times New Roman" w:hAnsi="Times New Roman" w:cs="Times New Roman"/>
          <w:sz w:val="28"/>
          <w:szCs w:val="28"/>
        </w:rPr>
        <w:t xml:space="preserve"> 108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576,3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52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В 2016 году Ульяновская область вошла в число 7 субъектов РФ, по итогам </w:t>
      </w:r>
      <w:proofErr w:type="gramStart"/>
      <w:r w:rsidRPr="00CF5235">
        <w:rPr>
          <w:rFonts w:ascii="Times New Roman" w:hAnsi="Times New Roman" w:cs="Times New Roman"/>
          <w:sz w:val="28"/>
          <w:szCs w:val="28"/>
        </w:rPr>
        <w:t>конкурсного отбора</w:t>
      </w:r>
      <w:proofErr w:type="gramEnd"/>
      <w:r w:rsidRPr="00CF5235">
        <w:rPr>
          <w:rFonts w:ascii="Times New Roman" w:hAnsi="Times New Roman" w:cs="Times New Roman"/>
          <w:sz w:val="28"/>
          <w:szCs w:val="28"/>
        </w:rPr>
        <w:t xml:space="preserve"> проведённого Министерством образования и науки Российской Федерации, на территории которых в 2016-2017 годах будут созданы Межрегиональные центры компетенций (по 6 областям подготовки кадров) в рамках реализации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5235">
        <w:rPr>
          <w:rFonts w:ascii="Times New Roman" w:hAnsi="Times New Roman" w:cs="Times New Roman"/>
          <w:sz w:val="28"/>
          <w:szCs w:val="28"/>
        </w:rPr>
        <w:t xml:space="preserve"> В 2016-2017 гг. в регионе велась работа по созданию Межрегионального центра компетенций в области обслуживания транспорта и логистики на базе ОГАПОУ «Ульяновский авиационный колледж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5235">
        <w:rPr>
          <w:rFonts w:ascii="Times New Roman" w:hAnsi="Times New Roman" w:cs="Times New Roman"/>
          <w:sz w:val="28"/>
          <w:szCs w:val="28"/>
        </w:rPr>
        <w:t xml:space="preserve"> Межрегиональный центр компетенций» (далее - МЦК).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МЦК является основной площадкой для подготовки национальной и региональной сборных и команд других субъектов РФ к участию в национальных и международных конкурсах профессионального мастерства «Молодые профессионалы» (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) по стандартам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>, в том числе и к международному чемпионату в Казани в 2019 году.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В структуру МЦК входят Тренировочный полигон и Учебный центр.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В 2017 году федеральные средства направлены на оснащение учебного центра МЦК. На </w:t>
      </w:r>
      <w:proofErr w:type="gramStart"/>
      <w:r w:rsidRPr="00CF5235">
        <w:rPr>
          <w:rFonts w:ascii="Times New Roman" w:hAnsi="Times New Roman" w:cs="Times New Roman"/>
          <w:sz w:val="28"/>
          <w:szCs w:val="28"/>
        </w:rPr>
        <w:t>базе  учебного</w:t>
      </w:r>
      <w:proofErr w:type="gramEnd"/>
      <w:r w:rsidRPr="00CF5235">
        <w:rPr>
          <w:rFonts w:ascii="Times New Roman" w:hAnsi="Times New Roman" w:cs="Times New Roman"/>
          <w:sz w:val="28"/>
          <w:szCs w:val="28"/>
        </w:rPr>
        <w:t xml:space="preserve"> центра МЦК осуществляется разработка и апробация экспериментальных образовательных программ подготовки по перечню ТОП-50, экспериментальная апробация новых ФГОС. Кроме этого, </w:t>
      </w:r>
      <w:r w:rsidRPr="00CF5235">
        <w:rPr>
          <w:rFonts w:ascii="Times New Roman" w:hAnsi="Times New Roman" w:cs="Times New Roman"/>
          <w:sz w:val="28"/>
          <w:szCs w:val="28"/>
        </w:rPr>
        <w:lastRenderedPageBreak/>
        <w:t>МЦК осуществляет функции регионального базового центра профессиональной подготовки, переподготовки и повышения квалификации рабочих кадров по перечню ТОП - 50.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Учебный центр на 600 ученических мест планирует начать функционировать с 1 февраля 2018 г., к этому времени должны быть завершены ремонтные работы в студенческом кампусе, который включает в себя учебно-лабораторный корпус (4 этажа, общая площадь 8 000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5235">
        <w:rPr>
          <w:rFonts w:ascii="Times New Roman" w:hAnsi="Times New Roman" w:cs="Times New Roman"/>
          <w:sz w:val="28"/>
          <w:szCs w:val="28"/>
        </w:rPr>
        <w:t xml:space="preserve"> спортзал, мастерские (2 000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.) и общежитие на 100 мест (2 600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>.).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МЦК активно участвует в движении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Кроме Региональных чемпионатов, </w:t>
      </w:r>
      <w:r w:rsidRPr="00CF5235">
        <w:rPr>
          <w:rFonts w:ascii="Times New Roman" w:hAnsi="Times New Roman" w:cs="Times New Roman"/>
          <w:sz w:val="28"/>
          <w:szCs w:val="28"/>
        </w:rPr>
        <w:t xml:space="preserve">в 2017 году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F5235">
        <w:rPr>
          <w:rFonts w:ascii="Times New Roman" w:hAnsi="Times New Roman" w:cs="Times New Roman"/>
          <w:sz w:val="28"/>
          <w:szCs w:val="28"/>
        </w:rPr>
        <w:t>а его площадках так же прошёл отборочный чемпионат на право участия в V Национальном чемпионате «Молодые профессиона</w:t>
      </w:r>
      <w:r>
        <w:rPr>
          <w:rFonts w:ascii="Times New Roman" w:hAnsi="Times New Roman" w:cs="Times New Roman"/>
          <w:sz w:val="28"/>
          <w:szCs w:val="28"/>
        </w:rPr>
        <w:t>лы»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</w:t>
      </w:r>
      <w:r w:rsidRPr="00CF52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5235">
        <w:rPr>
          <w:rFonts w:ascii="Times New Roman" w:hAnsi="Times New Roman" w:cs="Times New Roman"/>
          <w:sz w:val="28"/>
          <w:szCs w:val="28"/>
        </w:rPr>
        <w:t xml:space="preserve"> в котором приняли участи 265 человек из 65 регио</w:t>
      </w:r>
      <w:r>
        <w:rPr>
          <w:rFonts w:ascii="Times New Roman" w:hAnsi="Times New Roman" w:cs="Times New Roman"/>
          <w:sz w:val="28"/>
          <w:szCs w:val="28"/>
        </w:rPr>
        <w:t xml:space="preserve">нов России. </w:t>
      </w:r>
      <w:r w:rsidRPr="00CF5235">
        <w:rPr>
          <w:rFonts w:ascii="Times New Roman" w:hAnsi="Times New Roman" w:cs="Times New Roman"/>
          <w:sz w:val="28"/>
          <w:szCs w:val="28"/>
        </w:rPr>
        <w:t xml:space="preserve">В июне 2017 года на площадке МЦК во второй раз успешно проведён корпоративный чемпионат Объединенной авиастроительной корпорации по стандартам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, в состав которой входит Акционерное общество «Авиастар-СП».  Авиастар является ключевым работодателем для студентов и выпускников колледжа. На площадках Тренировочного полигона МЦК в 2017 году прошли демонстрационные экзамены в рамках Государственной итоговой аттестации. По профессиям ТОП-50 экзамен сдавали 85 выпускников, из них – 37 с регистрацией в Единой системе интернет-мониторинга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Россия. Около 50% участников получили отличные оценки.  Активно на площадках Тренировочного полигона МЦК проходят тренировки национальных сборных и региональной сборной, в том числе с участием международных экспертов. Так в июле 2017 года прошла открытая тренировка по компетенции «Кузовной ремонт» с участием представителей концерна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Тайота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из Японии.   </w:t>
      </w:r>
    </w:p>
    <w:p w:rsidR="00A46A97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2) Мероприятие 1.2. «Предоставление субсидий из областного бюджета частным организациям, осуществляющим образовательную деятельность, которым установлены контрольные цифры приёма граждан на обучение по профессиям, специальностям среднего профессионального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Pr="00CF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2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829,</w:t>
      </w:r>
      <w:r>
        <w:rPr>
          <w:rFonts w:ascii="Times New Roman" w:hAnsi="Times New Roman" w:cs="Times New Roman"/>
          <w:sz w:val="28"/>
          <w:szCs w:val="28"/>
        </w:rPr>
        <w:t>707тыс. рублей</w:t>
      </w:r>
      <w:r w:rsidRPr="00CF5235">
        <w:rPr>
          <w:rFonts w:ascii="Times New Roman" w:hAnsi="Times New Roman" w:cs="Times New Roman"/>
          <w:sz w:val="28"/>
          <w:szCs w:val="28"/>
        </w:rPr>
        <w:t>, освоено – 100%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235">
        <w:rPr>
          <w:rFonts w:ascii="Times New Roman" w:hAnsi="Times New Roman" w:cs="Times New Roman"/>
          <w:sz w:val="28"/>
          <w:szCs w:val="28"/>
        </w:rPr>
        <w:t>Субсидия  частному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учреждению торгово</w:t>
      </w:r>
      <w:r w:rsidRPr="00CF5235">
        <w:rPr>
          <w:rFonts w:ascii="Times New Roman" w:hAnsi="Times New Roman" w:cs="Times New Roman"/>
          <w:sz w:val="28"/>
          <w:szCs w:val="28"/>
        </w:rPr>
        <w:t xml:space="preserve">-экономический  техникум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Ульяновскоблпотребсоюза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на финансовое обеспечение 25 учащихся первого года  обучения.</w:t>
      </w:r>
    </w:p>
    <w:p w:rsidR="00A46A97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52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 xml:space="preserve">Мероприятие 1.3. «Создание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инвалидов». 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lastRenderedPageBreak/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5235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328,0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 xml:space="preserve">тыс. рублей, из них средства федерального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F5235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029,6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5235">
        <w:rPr>
          <w:rFonts w:ascii="Times New Roman" w:hAnsi="Times New Roman" w:cs="Times New Roman"/>
          <w:sz w:val="28"/>
          <w:szCs w:val="28"/>
        </w:rPr>
        <w:t xml:space="preserve"> средства областного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2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 xml:space="preserve">298,4 тыс. рублей. Освоено 100%. 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В 2017 году продолжена работа по созданию </w:t>
      </w:r>
      <w:proofErr w:type="gramStart"/>
      <w:r w:rsidRPr="00CF5235">
        <w:rPr>
          <w:rFonts w:ascii="Times New Roman" w:hAnsi="Times New Roman" w:cs="Times New Roman"/>
          <w:sz w:val="28"/>
          <w:szCs w:val="28"/>
        </w:rPr>
        <w:t>базовой  профессиональной</w:t>
      </w:r>
      <w:proofErr w:type="gramEnd"/>
      <w:r w:rsidRPr="00CF523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обеспечивающей поддержку региональной системы инклюзивного профессионального образования инвалидов. Статус базовой организации в 2016 году </w:t>
      </w:r>
      <w:proofErr w:type="gramStart"/>
      <w:r w:rsidRPr="00CF5235">
        <w:rPr>
          <w:rFonts w:ascii="Times New Roman" w:hAnsi="Times New Roman" w:cs="Times New Roman"/>
          <w:sz w:val="28"/>
          <w:szCs w:val="28"/>
        </w:rPr>
        <w:t>получил  ОГПОУ</w:t>
      </w:r>
      <w:proofErr w:type="gramEnd"/>
      <w:r w:rsidRPr="00CF5235">
        <w:rPr>
          <w:rFonts w:ascii="Times New Roman" w:hAnsi="Times New Roman" w:cs="Times New Roman"/>
          <w:sz w:val="28"/>
          <w:szCs w:val="28"/>
        </w:rPr>
        <w:t xml:space="preserve"> «Ульяновский техникум отраслевых технологий и дизайна». Денежные средства 2017 года направлены на модернизацию учебно-материальной базы техникума.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В данной базовой организации будут обучаться студенты с ограниченными возможностями здоровья по востребованным для экономики региона профессиям и специальностям по адаптированным программам среднего профессионального образования. Кроме того, созданные условия позволят другим учреждениям использовать образовательные технологии и учебно-методические материалы, а педагоги смогут повышать здесь свою квалификацию. Также в техникуме будет осуществляться консультации для студентов и их родителей, включая проведение профессиональной диагностики. 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Проведение ремонтных работ в учебно-производственной мастерской по технологии парикмахерского искусства для маломобильных групп </w:t>
      </w:r>
      <w:proofErr w:type="gramStart"/>
      <w:r w:rsidRPr="00CF5235">
        <w:rPr>
          <w:rFonts w:ascii="Times New Roman" w:hAnsi="Times New Roman" w:cs="Times New Roman"/>
          <w:sz w:val="28"/>
          <w:szCs w:val="28"/>
        </w:rPr>
        <w:t>населения  в</w:t>
      </w:r>
      <w:proofErr w:type="gramEnd"/>
      <w:r w:rsidRPr="00CF5235">
        <w:rPr>
          <w:rFonts w:ascii="Times New Roman" w:hAnsi="Times New Roman" w:cs="Times New Roman"/>
          <w:sz w:val="28"/>
          <w:szCs w:val="28"/>
        </w:rPr>
        <w:t xml:space="preserve"> рамках реализации государственной программы "Доступная среда".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Приобретено оборудование для обеспечения образовательного процесса в учебной мастерской и лаборатории по профессии "Парикмахер</w:t>
      </w:r>
      <w:proofErr w:type="gramStart"/>
      <w:r w:rsidRPr="00CF5235">
        <w:rPr>
          <w:rFonts w:ascii="Times New Roman" w:hAnsi="Times New Roman" w:cs="Times New Roman"/>
          <w:sz w:val="28"/>
          <w:szCs w:val="28"/>
        </w:rPr>
        <w:t>"  в</w:t>
      </w:r>
      <w:proofErr w:type="gramEnd"/>
      <w:r w:rsidRPr="00CF5235">
        <w:rPr>
          <w:rFonts w:ascii="Times New Roman" w:hAnsi="Times New Roman" w:cs="Times New Roman"/>
          <w:sz w:val="28"/>
          <w:szCs w:val="28"/>
        </w:rPr>
        <w:t xml:space="preserve"> рамках реализации ГП РФ "Доступная среда" (модул</w:t>
      </w:r>
      <w:r>
        <w:rPr>
          <w:rFonts w:ascii="Times New Roman" w:hAnsi="Times New Roman" w:cs="Times New Roman"/>
          <w:sz w:val="28"/>
          <w:szCs w:val="28"/>
        </w:rPr>
        <w:t>ьные столы, стулья), приобретен</w:t>
      </w:r>
      <w:r w:rsidRPr="00CF5235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F5235">
        <w:rPr>
          <w:rFonts w:ascii="Times New Roman" w:hAnsi="Times New Roman" w:cs="Times New Roman"/>
          <w:sz w:val="28"/>
          <w:szCs w:val="28"/>
        </w:rPr>
        <w:t xml:space="preserve"> терминал, предназначенн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F5235">
        <w:rPr>
          <w:rFonts w:ascii="Times New Roman" w:hAnsi="Times New Roman" w:cs="Times New Roman"/>
          <w:sz w:val="28"/>
          <w:szCs w:val="28"/>
        </w:rPr>
        <w:t xml:space="preserve"> для использования в качестве информационного носителя, обеспечивающего доступность информации для людей с ограниченными возможностями здоровья.</w:t>
      </w:r>
    </w:p>
    <w:p w:rsidR="00A46A97" w:rsidRDefault="00A46A97" w:rsidP="00F420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5235">
        <w:rPr>
          <w:rFonts w:ascii="Times New Roman" w:hAnsi="Times New Roman" w:cs="Times New Roman"/>
          <w:sz w:val="28"/>
          <w:szCs w:val="28"/>
        </w:rPr>
        <w:t>) Мероприятие 1.4. «Предоставление субсидий автономной некоммерческой организации дополнительного образования "Центр кластерного развития Ульяновской области" в целях финансового обеспечения затрат, связанных с проведением на территории Ульяновской области Отборочных соревнований на право участия в Финале Национального чемпионата "Молодые профессионалы" (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A97" w:rsidRPr="00CF5235" w:rsidRDefault="00A46A97" w:rsidP="00F420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5235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2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000,0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5235">
        <w:rPr>
          <w:rFonts w:ascii="Times New Roman" w:hAnsi="Times New Roman" w:cs="Times New Roman"/>
          <w:sz w:val="28"/>
          <w:szCs w:val="28"/>
        </w:rPr>
        <w:t>освоено 100%.</w:t>
      </w:r>
    </w:p>
    <w:p w:rsidR="00A46A97" w:rsidRPr="00CF5235" w:rsidRDefault="00A46A97" w:rsidP="00F420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С 15 по 28 марта 2017 года в Ульяновской области состоялись Отборочные соревнования на право участия в Финале Национального чемпионата «Молодые профессионалы» (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). Студенты и молодые рабочие со всей </w:t>
      </w:r>
      <w:proofErr w:type="gramStart"/>
      <w:r w:rsidRPr="00CF5235">
        <w:rPr>
          <w:rFonts w:ascii="Times New Roman" w:hAnsi="Times New Roman" w:cs="Times New Roman"/>
          <w:sz w:val="28"/>
          <w:szCs w:val="28"/>
        </w:rPr>
        <w:t>России  соревновались</w:t>
      </w:r>
      <w:proofErr w:type="gramEnd"/>
      <w:r w:rsidRPr="00CF5235">
        <w:rPr>
          <w:rFonts w:ascii="Times New Roman" w:hAnsi="Times New Roman" w:cs="Times New Roman"/>
          <w:sz w:val="28"/>
          <w:szCs w:val="28"/>
        </w:rPr>
        <w:t xml:space="preserve"> в своем мастерстве по блоку компетенций обслуживание гражданского транспорта: ремонт и обслуживание легковых авто</w:t>
      </w:r>
      <w:r w:rsidRPr="00CF5235">
        <w:rPr>
          <w:rFonts w:ascii="Times New Roman" w:hAnsi="Times New Roman" w:cs="Times New Roman"/>
          <w:sz w:val="28"/>
          <w:szCs w:val="28"/>
        </w:rPr>
        <w:lastRenderedPageBreak/>
        <w:t xml:space="preserve">мобилей; обслуживание грузовой техники; эксплуатация сельскохозяйственных машин; кузовной ремонт;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автопокраска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. Соревнования прошли на площадках ОГАПОУ «Ульяновский авиационный колледж – Межрегиональный центр компетенций» и ФГБОУ ВО «Ульяновская государственная сельскохозяйственная академия имени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П.А.Столыпина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». В них приняли участие 300 человек из 65 регионов Российской Федерации. Оценивали профессиональные навыки </w:t>
      </w:r>
      <w:proofErr w:type="gramStart"/>
      <w:r w:rsidRPr="00CF5235">
        <w:rPr>
          <w:rFonts w:ascii="Times New Roman" w:hAnsi="Times New Roman" w:cs="Times New Roman"/>
          <w:sz w:val="28"/>
          <w:szCs w:val="28"/>
        </w:rPr>
        <w:t>конкурсантов  эксперты</w:t>
      </w:r>
      <w:proofErr w:type="gramEnd"/>
      <w:r w:rsidRPr="00CF5235">
        <w:rPr>
          <w:rFonts w:ascii="Times New Roman" w:hAnsi="Times New Roman" w:cs="Times New Roman"/>
          <w:sz w:val="28"/>
          <w:szCs w:val="28"/>
        </w:rPr>
        <w:t xml:space="preserve"> Союза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A46A97" w:rsidRPr="00CF5235" w:rsidRDefault="00A46A97" w:rsidP="00F420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В июне 2017 года в Ульяновске прошел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F5235">
        <w:rPr>
          <w:rFonts w:ascii="Times New Roman" w:hAnsi="Times New Roman" w:cs="Times New Roman"/>
          <w:sz w:val="28"/>
          <w:szCs w:val="28"/>
        </w:rPr>
        <w:t xml:space="preserve">ретий открытый чемпионат ПАО «Объединённая авиастроительная корпорация» по профессиональному мастерству в авиастроении по стандартам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. В мероприятии приняли участие около 160 человек из 10 субъектов Российской Федерации. Молодые рабочие – представители наиболее крупных предприятий ПАО «ОАК»: компаний «Сухой», «Иркут», «Туполев», «Ильюшин», и др. соревновались по 6 компетенциям: фрезерные работы на станках с ЧПУ, токарные работы на станках с ЧПУ, инженерная графика CAD, производственная сборка изделий авиационной техники, обслуживание авиационной техники, монтаж электрооборудования летательных аппаратов. В рамках мероприятия состоялись соревнования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JuniorSkills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среди школьников по компетенции «Производство и обслуживание авиационной техники».</w:t>
      </w:r>
    </w:p>
    <w:p w:rsidR="00A46A97" w:rsidRPr="00CF5235" w:rsidRDefault="00A46A97" w:rsidP="00F420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VI региональный чемпионат «Молодые профессионалы» (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F5235">
        <w:rPr>
          <w:rFonts w:ascii="Times New Roman" w:hAnsi="Times New Roman" w:cs="Times New Roman"/>
          <w:sz w:val="28"/>
          <w:szCs w:val="28"/>
        </w:rPr>
        <w:t xml:space="preserve"> Ульяновской области (далее – Чемпионат) прошёл с 20 по 24 ноября 2017 года по 23 компетенциям: веб - дизайн, графический дизайн, инженерный дизайн (CAD), эксплуатация сельскохозяйственных машин, столярное дело,  кондитерское дело, ремонт и обслуживание легковых автомобилей, обслуживание грузовой техники, кузовной ремонт, обслуживание авиационной техники, управление беспилотными летательными аппаратами, дошкольное воспитание, облицовка плиткой, сварочные технологии, преподавание в младших классах, поварское дело, технологии моды, предпринимательство, холодильная техника и системы кондиционирования лабораторный медицинский анализ, медицинский социальный уход. Впервые был проведен чемпионат по компетенциям: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автопокраска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>, физическая культура и спорт. Также впервые категория участников – юниоры (16 лет и младше) соревновались на одной площадке с участниками категории 16-22 года по компетенции инженерный дизайн (CAD)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5235">
        <w:rPr>
          <w:rFonts w:ascii="Times New Roman" w:hAnsi="Times New Roman" w:cs="Times New Roman"/>
          <w:sz w:val="28"/>
          <w:szCs w:val="28"/>
        </w:rPr>
        <w:t xml:space="preserve"> Чемпионат носил статус открытого, в нем приняли участие команды из Татарстана, Ростовской области, Рязанской области, Самарской области. В Чемпионате приняли участие 163 участника – студенты профессиональных образовательных организаций и образовательных организаций. Все участники – победители отборочного этапа, который проходил в октябре 2017 года в каждой профессиональной образовательной организации Ульяновской </w:t>
      </w:r>
      <w:r w:rsidRPr="00CF5235">
        <w:rPr>
          <w:rFonts w:ascii="Times New Roman" w:hAnsi="Times New Roman" w:cs="Times New Roman"/>
          <w:sz w:val="28"/>
          <w:szCs w:val="28"/>
        </w:rPr>
        <w:lastRenderedPageBreak/>
        <w:t>области. Экспертная группа Чемпионата была представлена профессионалами своего дела – мастера производственного обучения и преподаватели профессиональных образовательных организаций, ВУЗов, представители работодателей, социальных партнеров – всего 204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человека. Площадками проведения Чемпионата выступили: ОГАПОУ «Ульяновский авиационный колледж - Межрегиональный центр компетенций»; ОГБПОУ «Ульяновский профессионально-педагогический колледж»; ОГБПОУ «Ульяновский техникум отраслевых технологий и дизайна»; ОГБПОУ «Ульяновский техникум питания и торговли»; ОГБПОУ «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Димитровградский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механико-технологический техникум молочной промышленности»; ФГБПОУ «Ульяновский фармацевтический колледж» Министерства здравоохранения РФ; ФГБУ ВО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5235">
        <w:rPr>
          <w:rFonts w:ascii="Times New Roman" w:hAnsi="Times New Roman" w:cs="Times New Roman"/>
          <w:sz w:val="28"/>
          <w:szCs w:val="28"/>
        </w:rPr>
        <w:t>Ульяновский государственный аграрный университет</w:t>
      </w:r>
      <w:r w:rsidRPr="00E24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П.А.Столыпина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F523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235">
        <w:rPr>
          <w:rFonts w:ascii="Times New Roman" w:hAnsi="Times New Roman" w:cs="Times New Roman"/>
          <w:b/>
          <w:bCs/>
          <w:sz w:val="28"/>
          <w:szCs w:val="28"/>
        </w:rPr>
        <w:t>«Развитие дополнительного образования детей и реализация мероприятий молодёжной политики»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На реализацию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Pr="00CF5235">
        <w:rPr>
          <w:rFonts w:ascii="Times New Roman" w:hAnsi="Times New Roman" w:cs="Times New Roman"/>
          <w:sz w:val="28"/>
          <w:szCs w:val="28"/>
        </w:rPr>
        <w:t xml:space="preserve"> утверждён объём финансирования: всего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52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235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 xml:space="preserve">  756</w:t>
      </w:r>
      <w:proofErr w:type="gramEnd"/>
      <w:r>
        <w:rPr>
          <w:rFonts w:ascii="Times New Roman" w:hAnsi="Times New Roman" w:cs="Times New Roman"/>
          <w:sz w:val="28"/>
          <w:szCs w:val="28"/>
        </w:rPr>
        <w:t>,05608 тыс. рублей,</w:t>
      </w:r>
      <w:r w:rsidRPr="00CF5235">
        <w:rPr>
          <w:rFonts w:ascii="Times New Roman" w:hAnsi="Times New Roman" w:cs="Times New Roman"/>
          <w:sz w:val="28"/>
          <w:szCs w:val="28"/>
        </w:rPr>
        <w:t xml:space="preserve"> из них освоено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235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833,73566 тыс. руб., что составляет 97,7 %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Финансовые средства были направлены на реализацию следующих мероприятий подпрограммы:</w:t>
      </w:r>
    </w:p>
    <w:p w:rsidR="00A46A97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1) Мероприятие 1.1. «Создание условий успешной социализации и эффективной самореализации молодёжи»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F5235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235">
        <w:rPr>
          <w:rFonts w:ascii="Times New Roman" w:hAnsi="Times New Roman" w:cs="Times New Roman"/>
          <w:sz w:val="28"/>
          <w:szCs w:val="28"/>
        </w:rPr>
        <w:t>168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 xml:space="preserve">76,2 тыс. рублей, освоено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5235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349,3 тыс. рублей, что составляет 90,9%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A97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Министерство молодёжно</w:t>
      </w:r>
      <w:r>
        <w:rPr>
          <w:rFonts w:ascii="Times New Roman" w:hAnsi="Times New Roman" w:cs="Times New Roman"/>
          <w:sz w:val="28"/>
          <w:szCs w:val="28"/>
        </w:rPr>
        <w:t>го развития Ульяновской области:</w:t>
      </w:r>
    </w:p>
    <w:p w:rsidR="00A46A97" w:rsidRPr="00CF5235" w:rsidRDefault="00A46A97" w:rsidP="00C11E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5235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2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212,36592 тыс. рублей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CF5235">
        <w:rPr>
          <w:rFonts w:ascii="Times New Roman" w:hAnsi="Times New Roman" w:cs="Times New Roman"/>
          <w:sz w:val="28"/>
          <w:szCs w:val="28"/>
        </w:rPr>
        <w:t xml:space="preserve">своено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2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685,43509 тыс. рублей (70,7%)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A97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науки Ульяновской области:</w:t>
      </w:r>
    </w:p>
    <w:p w:rsidR="00A46A97" w:rsidRPr="00CF5235" w:rsidRDefault="00A46A97" w:rsidP="00C11E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- </w:t>
      </w:r>
      <w:r w:rsidRPr="00CF523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663,83408 тыс. рублей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CF5235">
        <w:rPr>
          <w:rFonts w:ascii="Times New Roman" w:hAnsi="Times New Roman" w:cs="Times New Roman"/>
          <w:sz w:val="28"/>
          <w:szCs w:val="28"/>
        </w:rPr>
        <w:t xml:space="preserve">своено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23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663,83408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F5235">
        <w:rPr>
          <w:rFonts w:ascii="Times New Roman" w:hAnsi="Times New Roman" w:cs="Times New Roman"/>
          <w:sz w:val="28"/>
          <w:szCs w:val="28"/>
        </w:rPr>
        <w:t>100 %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В рамках реализация молодёжной политики Министерством молодёжного развития были проведены следующие мероприятия:  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- участие во встрече творческой молодёжи навстречу Всемирного фестиваля молодёжи и студентов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F5235">
        <w:rPr>
          <w:rFonts w:ascii="Times New Roman" w:hAnsi="Times New Roman" w:cs="Times New Roman"/>
          <w:sz w:val="28"/>
          <w:szCs w:val="28"/>
        </w:rPr>
        <w:t>2017 г.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r w:rsidRPr="00CF5235">
        <w:rPr>
          <w:rFonts w:ascii="Times New Roman" w:hAnsi="Times New Roman" w:cs="Times New Roman"/>
          <w:sz w:val="28"/>
          <w:szCs w:val="28"/>
        </w:rPr>
        <w:t>Сочи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F52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- участие делегации Ульяновской области в Международном проекте «Российско-Китайский студенческий бизнес-инкубатор»; 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- проведение финала IV Всероссийской военно-патриотической игры «Зарницы» на территории Ульяновской области в 2017 году;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- участие делегации Ульяновской области в форуме </w:t>
      </w:r>
      <w:r>
        <w:rPr>
          <w:rFonts w:ascii="Times New Roman" w:hAnsi="Times New Roman" w:cs="Times New Roman"/>
          <w:sz w:val="28"/>
          <w:szCs w:val="28"/>
        </w:rPr>
        <w:t>«iВолга-2017»</w:t>
      </w:r>
      <w:r w:rsidRPr="00CF5235">
        <w:rPr>
          <w:rFonts w:ascii="Times New Roman" w:hAnsi="Times New Roman" w:cs="Times New Roman"/>
          <w:sz w:val="28"/>
          <w:szCs w:val="28"/>
        </w:rPr>
        <w:t>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lastRenderedPageBreak/>
        <w:t>- участие делегации Ульяновской области во Всер</w:t>
      </w:r>
      <w:r>
        <w:rPr>
          <w:rFonts w:ascii="Times New Roman" w:hAnsi="Times New Roman" w:cs="Times New Roman"/>
          <w:sz w:val="28"/>
          <w:szCs w:val="28"/>
        </w:rPr>
        <w:t>оссийском форуме «Таврида-2017»</w:t>
      </w:r>
      <w:r w:rsidRPr="00CF5235">
        <w:rPr>
          <w:rFonts w:ascii="Times New Roman" w:hAnsi="Times New Roman" w:cs="Times New Roman"/>
          <w:sz w:val="28"/>
          <w:szCs w:val="28"/>
        </w:rPr>
        <w:t>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- участие делегации Ульяновской области во Всероссийском </w:t>
      </w:r>
      <w:proofErr w:type="gramStart"/>
      <w:r w:rsidRPr="00CF5235">
        <w:rPr>
          <w:rFonts w:ascii="Times New Roman" w:hAnsi="Times New Roman" w:cs="Times New Roman"/>
          <w:sz w:val="28"/>
          <w:szCs w:val="28"/>
        </w:rPr>
        <w:t>форуме  «</w:t>
      </w:r>
      <w:proofErr w:type="gramEnd"/>
      <w:r w:rsidRPr="00CF5235">
        <w:rPr>
          <w:rFonts w:ascii="Times New Roman" w:hAnsi="Times New Roman" w:cs="Times New Roman"/>
          <w:sz w:val="28"/>
          <w:szCs w:val="28"/>
        </w:rPr>
        <w:t xml:space="preserve">Территория смыслов на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Клязьме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- комплекс мероприятий, направленных на обеспечение организации и поддержки деятельности студенческих трудовых отрядов и молодёжных трудовых объединений;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- комплекс мероприятий PROдвижение-2017;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- комплекс мероприятий Бумеранг-2017;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 </w:t>
      </w:r>
      <w:r w:rsidRPr="00CF5235">
        <w:rPr>
          <w:rFonts w:ascii="Times New Roman" w:hAnsi="Times New Roman" w:cs="Times New Roman"/>
          <w:sz w:val="28"/>
          <w:szCs w:val="28"/>
        </w:rPr>
        <w:t>мероприятий по формированию условий для гражданского становления, духовно-нравственного и патриотического воспитания молодых людей;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-организация участия молодых людей в региональных, межрегиональных, всероссийских, международных мероприятиях по направлениям реализации «государственная молодёжная политика»;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- песенный марафон «Татьянин день»;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- комплекс мероприятий по развитию волонтёрского движения на территории Ульяновской области;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- ежегодный Губернский конкурс молодёжных проектов Ульяновской области;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школа общественного действия.</w:t>
      </w:r>
    </w:p>
    <w:p w:rsidR="00A46A97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2) Мероприятие 1.2. «Проведение социально значимых мероприятий в сфере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5235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5235">
        <w:rPr>
          <w:rFonts w:ascii="Times New Roman" w:hAnsi="Times New Roman" w:cs="Times New Roman"/>
          <w:sz w:val="28"/>
          <w:szCs w:val="28"/>
        </w:rPr>
        <w:t xml:space="preserve"> 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 xml:space="preserve">833,645 тыс. рублей, освоено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235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537,64356 тыс. рублей</w:t>
      </w:r>
      <w:r>
        <w:rPr>
          <w:rFonts w:ascii="Times New Roman" w:hAnsi="Times New Roman" w:cs="Times New Roman"/>
          <w:sz w:val="28"/>
          <w:szCs w:val="28"/>
        </w:rPr>
        <w:t>, ч</w:t>
      </w:r>
      <w:r w:rsidRPr="00CF5235">
        <w:rPr>
          <w:rFonts w:ascii="Times New Roman" w:hAnsi="Times New Roman" w:cs="Times New Roman"/>
          <w:sz w:val="28"/>
          <w:szCs w:val="28"/>
        </w:rPr>
        <w:t>то составляет 97,2 %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Социально значимые мероприятия проведены в соответствии с графиком и предусмотренным финансированием, в том числе: конкурс социально значимых проектов в сфере отдыха и оздоровления детей "Летний Меридиан";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JuniorSkills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>, Арт-Профи слёт "Профессии будущего"; Фестиваль науки, региональный этап всероссийской олимпиады школьников; региональная конференция "Наука и практика: современные аспекты в непрерывном образовании детей"; областной конкурс "Защитники Отечества"; Ассамблея талантливой молодёжи; конкурс проектов школьных музеев "Сохрани свою историю".</w:t>
      </w:r>
    </w:p>
    <w:p w:rsidR="00A46A97" w:rsidRDefault="00A46A97" w:rsidP="00C11E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3) Мероприятие 1.3. «Предоставление субсидии из областного бюджета Ульяновской областной организации Общероссийской общественной организации "Российский Союз Молодёжи" в целях финансового обеспечения затрат в связи с оказанием содействия в расширении масштабов работы с молодёжью на территории Ульяновской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A97" w:rsidRPr="00CF5235" w:rsidRDefault="00A46A97" w:rsidP="00C11E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5235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5235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000,0 тыс. рублей, освоено 100 %.</w:t>
      </w:r>
    </w:p>
    <w:p w:rsidR="00A46A97" w:rsidRDefault="00A46A97" w:rsidP="00C11E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lastRenderedPageBreak/>
        <w:t>4) Мероприятие 2.1. «Предоставление на территории Ульяновской области лицам, имеющим статус молодых специалистов, мер социальной поддержки»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5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A97" w:rsidRPr="00CF5235" w:rsidRDefault="00A46A97" w:rsidP="00C11E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5235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23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965,89608 тыс. рублей, освоен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F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5235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866,50793 тыс. рублей, что составляет 99,6%. Финансирование по заявкам муниципальных образова</w:t>
      </w:r>
      <w:r>
        <w:rPr>
          <w:rFonts w:ascii="Times New Roman" w:hAnsi="Times New Roman" w:cs="Times New Roman"/>
          <w:sz w:val="28"/>
          <w:szCs w:val="28"/>
        </w:rPr>
        <w:t>ний</w:t>
      </w:r>
      <w:r w:rsidRPr="00CF5235">
        <w:rPr>
          <w:rFonts w:ascii="Times New Roman" w:hAnsi="Times New Roman" w:cs="Times New Roman"/>
          <w:sz w:val="28"/>
          <w:szCs w:val="28"/>
        </w:rPr>
        <w:t>.</w:t>
      </w:r>
    </w:p>
    <w:p w:rsidR="00A46A97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5) Мероприятие 2.2. «Предоставление мер социальной поддержки талантливым и одарённым обучающимся, педагогическим и научным работникам образовательных организаций»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Pr="00CF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23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529,5 тыс. рублей, освоено –100%.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Финансовые средства направлены на выплату премий и поощрений талантливым и одарённым обучающимся, педагогическим и научным работникам образовательных организаций.</w:t>
      </w:r>
    </w:p>
    <w:p w:rsidR="00A46A97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6) Мероприятие 2.3. «Осуществление выплаты ежемесячной стипендии Губернатора Ульяновской области «Семья»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235">
        <w:rPr>
          <w:rFonts w:ascii="Times New Roman" w:hAnsi="Times New Roman" w:cs="Times New Roman"/>
          <w:sz w:val="28"/>
          <w:szCs w:val="28"/>
        </w:rPr>
        <w:t>186,0 тыс. рублей, освоен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F5235">
        <w:rPr>
          <w:rFonts w:ascii="Times New Roman" w:hAnsi="Times New Roman" w:cs="Times New Roman"/>
          <w:sz w:val="28"/>
          <w:szCs w:val="28"/>
        </w:rPr>
        <w:t xml:space="preserve"> – 100%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5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A97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7) Мероприятие 3.1. «Предоставление субсидии автономной некоммерческой организации дополнительного образования "Центр кластерного развития Ульяновской области" в целях финансового обеспечения затрат, связанных с созданием и эксплуатацией детского технопарка на территории Ульяновской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5235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2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500,0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5235">
        <w:rPr>
          <w:rFonts w:ascii="Times New Roman" w:hAnsi="Times New Roman" w:cs="Times New Roman"/>
          <w:sz w:val="28"/>
          <w:szCs w:val="28"/>
        </w:rPr>
        <w:t xml:space="preserve"> освоено 100%.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В течение 2017 года 1854 детей в возрасте от 12 до 18 лет, охваченных на бесплатной основе дополнительными общеобразовательными программами, соответствующими приоритетным направлениям технологического развития Российской Федерации прошли обучение на базе детского технопарка «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>» (АНО ДО ЦКР) по 5 направлениям со сроком обучения 3 месяца (дополнительная программа на 72 часа).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Все педагоги детского технопарка «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>», прошли полный курс повышения квалификации по методологии федерального оператора с получением сертификата.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24% воспитанников детского технопарка «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» приняли участие в федеральных и </w:t>
      </w:r>
      <w:proofErr w:type="gramStart"/>
      <w:r w:rsidRPr="00CF5235">
        <w:rPr>
          <w:rFonts w:ascii="Times New Roman" w:hAnsi="Times New Roman" w:cs="Times New Roman"/>
          <w:sz w:val="28"/>
          <w:szCs w:val="28"/>
        </w:rPr>
        <w:t>международных конкурсных мероприятиях</w:t>
      </w:r>
      <w:proofErr w:type="gramEnd"/>
      <w:r w:rsidRPr="00CF5235">
        <w:rPr>
          <w:rFonts w:ascii="Times New Roman" w:hAnsi="Times New Roman" w:cs="Times New Roman"/>
          <w:sz w:val="28"/>
          <w:szCs w:val="28"/>
        </w:rPr>
        <w:t xml:space="preserve"> и олимпиадах по естественнонаучной и технической направленностям</w:t>
      </w:r>
      <w:bookmarkStart w:id="1" w:name="_gjdgxs" w:colFirst="0" w:colLast="0"/>
      <w:bookmarkEnd w:id="1"/>
      <w:r w:rsidRPr="00CF5235">
        <w:rPr>
          <w:rFonts w:ascii="Times New Roman" w:hAnsi="Times New Roman" w:cs="Times New Roman"/>
          <w:sz w:val="28"/>
          <w:szCs w:val="28"/>
        </w:rPr>
        <w:t>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На площадке детского технопарка «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>» по запросу промышленного предприятия – технологический кейс (при сопровождении специалистов соответствующего промышленного предприятия) реализовано 5 проектов.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lastRenderedPageBreak/>
        <w:t>20% проектов, представлено на финальном отчетном Всероссийском мероприятии по проектной деятельности Детских Технопарков, из числа защищенных на ежегодном отчетном региональном мероприятии по проектной деятельности детского технопарка «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>».</w:t>
      </w:r>
    </w:p>
    <w:p w:rsidR="00A46A97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8) Мероприятие 3.2.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5235">
        <w:rPr>
          <w:rFonts w:ascii="Times New Roman" w:hAnsi="Times New Roman" w:cs="Times New Roman"/>
          <w:sz w:val="28"/>
          <w:szCs w:val="28"/>
        </w:rPr>
        <w:t>Предоставление субсидии автономной некоммерческой организации дополнительного образования "Центр кластерного развития Ульяновской области" в целях финансового обеспечения затрат, связанных с обновлением содержания и технологий дополнительного образования и воспитания детей»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52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2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864,815 т</w:t>
      </w:r>
      <w:r>
        <w:rPr>
          <w:rFonts w:ascii="Times New Roman" w:hAnsi="Times New Roman" w:cs="Times New Roman"/>
          <w:sz w:val="28"/>
          <w:szCs w:val="28"/>
        </w:rPr>
        <w:t>ыс. рублей</w:t>
      </w:r>
      <w:r w:rsidRPr="00CF5235">
        <w:rPr>
          <w:rFonts w:ascii="Times New Roman" w:hAnsi="Times New Roman" w:cs="Times New Roman"/>
          <w:sz w:val="28"/>
          <w:szCs w:val="28"/>
        </w:rPr>
        <w:t>. Освоен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F5235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В рамках данной субсидии была вновь создана и открыта точка детского технопарка «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>» в «Точка кипения АСИ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F5235">
        <w:rPr>
          <w:rFonts w:ascii="Times New Roman" w:hAnsi="Times New Roman" w:cs="Times New Roman"/>
          <w:sz w:val="28"/>
          <w:szCs w:val="28"/>
        </w:rPr>
        <w:t>Ульяновск» (г.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Ульяновск,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Минаева, 11) по направлениям: VR/AR и ИТ.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Создан мобильный технопарк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Нетворк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>: разработаны краткосрочные программы обучения детей по направлениям технопарка; закуплено мобильное оборудование, разработаны методические материалы для педагогов и детей; составлен график и осуществляются выезды в 15 муниципальных образований Ульяновской области.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В лекциях, мастер-классах по научно-инженерному направлению в соответствии с утвержденным графиком проведения выездных образовательных сессий приняло </w:t>
      </w:r>
      <w:proofErr w:type="gramStart"/>
      <w:r w:rsidRPr="00CF5235">
        <w:rPr>
          <w:rFonts w:ascii="Times New Roman" w:hAnsi="Times New Roman" w:cs="Times New Roman"/>
          <w:sz w:val="28"/>
          <w:szCs w:val="28"/>
        </w:rPr>
        <w:t>участие  5674</w:t>
      </w:r>
      <w:proofErr w:type="gramEnd"/>
      <w:r w:rsidRPr="00CF5235">
        <w:rPr>
          <w:rFonts w:ascii="Times New Roman" w:hAnsi="Times New Roman" w:cs="Times New Roman"/>
          <w:sz w:val="28"/>
          <w:szCs w:val="28"/>
        </w:rPr>
        <w:t xml:space="preserve"> детей в возрасте от 12 до 17 лет.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В рамках сетевого взаимодействия заключено 20 договоров с общеобразовательными организациями и организациями дополнительного образования Ульяновской области на реализацию дополнительных общеразвивающих программ и мероприятий, направленных на развитие научно-инженерного творчества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A97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235">
        <w:rPr>
          <w:rFonts w:ascii="Times New Roman" w:hAnsi="Times New Roman" w:cs="Times New Roman"/>
          <w:b/>
          <w:bCs/>
          <w:sz w:val="28"/>
          <w:szCs w:val="28"/>
        </w:rPr>
        <w:t>«Сохранение, развитие и продвижение русского языка и культуры Ульяновской области»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Финансовые средства на реализацию подпрограммы в 2017 году не предусмотрены.</w:t>
      </w:r>
    </w:p>
    <w:p w:rsidR="00A46A97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235">
        <w:rPr>
          <w:rFonts w:ascii="Times New Roman" w:hAnsi="Times New Roman" w:cs="Times New Roman"/>
          <w:b/>
          <w:bCs/>
          <w:sz w:val="28"/>
          <w:szCs w:val="28"/>
        </w:rPr>
        <w:t>«Организация отдыха, оздоровления детей и работников бюджетной сферы в Ульяновской области»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proofErr w:type="gramStart"/>
      <w:r w:rsidRPr="00CF5235">
        <w:rPr>
          <w:rFonts w:ascii="Times New Roman" w:hAnsi="Times New Roman" w:cs="Times New Roman"/>
          <w:sz w:val="28"/>
          <w:szCs w:val="28"/>
        </w:rPr>
        <w:t>подпрограммы  утверждён</w:t>
      </w:r>
      <w:proofErr w:type="gramEnd"/>
      <w:r w:rsidRPr="00CF5235">
        <w:rPr>
          <w:rFonts w:ascii="Times New Roman" w:hAnsi="Times New Roman" w:cs="Times New Roman"/>
          <w:sz w:val="28"/>
          <w:szCs w:val="28"/>
        </w:rPr>
        <w:t xml:space="preserve"> объём финансирования: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F5235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F5235">
        <w:rPr>
          <w:rFonts w:ascii="Times New Roman" w:hAnsi="Times New Roman" w:cs="Times New Roman"/>
          <w:sz w:val="28"/>
          <w:szCs w:val="28"/>
        </w:rPr>
        <w:t xml:space="preserve"> 267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 xml:space="preserve">615,22872 тыс. рублей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5235">
        <w:rPr>
          <w:rFonts w:ascii="Times New Roman" w:hAnsi="Times New Roman" w:cs="Times New Roman"/>
          <w:sz w:val="28"/>
          <w:szCs w:val="28"/>
        </w:rPr>
        <w:t xml:space="preserve"> областной бюджет. Из них освоено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5235">
        <w:rPr>
          <w:rFonts w:ascii="Times New Roman" w:hAnsi="Times New Roman" w:cs="Times New Roman"/>
          <w:sz w:val="28"/>
          <w:szCs w:val="28"/>
        </w:rPr>
        <w:t xml:space="preserve"> 250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277,53586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Pr="00CF5235">
        <w:rPr>
          <w:rFonts w:ascii="Times New Roman" w:hAnsi="Times New Roman" w:cs="Times New Roman"/>
          <w:sz w:val="28"/>
          <w:szCs w:val="28"/>
        </w:rPr>
        <w:t>94 %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5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A97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lastRenderedPageBreak/>
        <w:t>1) Мероприятие 1.1. «Организация и обеспечение отдыха детей в загородных лагерях отдыха и оздоровления детей, в специализированных (профильных), палаточных лагерях и в детских лагерях, организованных образовательными организациями, осуществляющими организацию отдыха и оздоровления обучающихся в каникулярное время»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5235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235">
        <w:rPr>
          <w:rFonts w:ascii="Times New Roman" w:hAnsi="Times New Roman" w:cs="Times New Roman"/>
          <w:sz w:val="28"/>
          <w:szCs w:val="28"/>
        </w:rPr>
        <w:t>207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 xml:space="preserve">239,66072 тыс. рублей, освоение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5235">
        <w:rPr>
          <w:rFonts w:ascii="Times New Roman" w:hAnsi="Times New Roman" w:cs="Times New Roman"/>
          <w:sz w:val="28"/>
          <w:szCs w:val="28"/>
        </w:rPr>
        <w:t xml:space="preserve"> 192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364,81637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CF5235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CF5235">
        <w:rPr>
          <w:rFonts w:ascii="Times New Roman" w:hAnsi="Times New Roman" w:cs="Times New Roman"/>
          <w:sz w:val="28"/>
          <w:szCs w:val="28"/>
        </w:rPr>
        <w:t>составляет  92</w:t>
      </w:r>
      <w:proofErr w:type="gramEnd"/>
      <w:r w:rsidRPr="00CF5235">
        <w:rPr>
          <w:rFonts w:ascii="Times New Roman" w:hAnsi="Times New Roman" w:cs="Times New Roman"/>
          <w:sz w:val="28"/>
          <w:szCs w:val="28"/>
        </w:rPr>
        <w:t>,8 %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Во всех 5 типах детских оздоровительных лагерей (загородных, санаторно-оздоровительных, дневных оздоровительных, палаточных и лагерях труда</w:t>
      </w:r>
      <w:r>
        <w:rPr>
          <w:rFonts w:ascii="Times New Roman" w:hAnsi="Times New Roman" w:cs="Times New Roman"/>
          <w:sz w:val="28"/>
          <w:szCs w:val="28"/>
        </w:rPr>
        <w:t xml:space="preserve"> и отдыха) за летний период 2017</w:t>
      </w:r>
      <w:r w:rsidRPr="00CF5235">
        <w:rPr>
          <w:rFonts w:ascii="Times New Roman" w:hAnsi="Times New Roman" w:cs="Times New Roman"/>
          <w:sz w:val="28"/>
          <w:szCs w:val="28"/>
        </w:rPr>
        <w:t xml:space="preserve"> года было оздоровлено 55 698 детей и составило 50% от общей численности детей школьного возраста, что соответствует уровню прошлого года.  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В Ульяновской области действовали 526 организаций отдыха детей и их оздоровления, из них: 17 загородных стационарных оздоровительных лагерей (15 сезонных и 2 круглогодичных лагеря), 7 санаторно-оздоровительных лагерей, в том числе 11 детских лагерей негосударственного сектора. В загородных и санаторно-оздоровительных лагерях Ульяновской области в течение года отдохнуло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518 детей (в летний период –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645 детей), что сохранилось на уровне прошлого года.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Кроме того, отдых и оздоровление детей было организовано на базе 2 детских санаториев, 7 организаций для детей-сирот и детей, оставшихся без попечения родителей, на базах отдыха организаций высшего профессионального образования. 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Особое внимание было обращено на организацию палаточных лагерей и лагерей труда и отдыха для старшеклассников. Всего в течение летних школьных каникул на территории области было организовано 43 лагеря труда и отдыха с охватом 1313 </w:t>
      </w:r>
      <w:proofErr w:type="gramStart"/>
      <w:r w:rsidRPr="00CF5235">
        <w:rPr>
          <w:rFonts w:ascii="Times New Roman" w:hAnsi="Times New Roman" w:cs="Times New Roman"/>
          <w:sz w:val="28"/>
          <w:szCs w:val="28"/>
        </w:rPr>
        <w:t>подростков  и</w:t>
      </w:r>
      <w:proofErr w:type="gramEnd"/>
      <w:r w:rsidRPr="00CF5235">
        <w:rPr>
          <w:rFonts w:ascii="Times New Roman" w:hAnsi="Times New Roman" w:cs="Times New Roman"/>
          <w:sz w:val="28"/>
          <w:szCs w:val="28"/>
        </w:rPr>
        <w:t xml:space="preserve">  42 палаточных лагеря, из них 5 стационарных палаточных лагерей, которые открыты в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Чердаклинском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Барышском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Вешкаймском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Тереньгульском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</w:t>
      </w:r>
      <w:r w:rsidRPr="00CF5235">
        <w:rPr>
          <w:rFonts w:ascii="Times New Roman" w:hAnsi="Times New Roman" w:cs="Times New Roman"/>
          <w:sz w:val="28"/>
          <w:szCs w:val="28"/>
        </w:rPr>
        <w:t xml:space="preserve"> (от МО «г. Ульяновск»), г. Димитровграде. 20 передвижных палаточных лагерей по территории области организованы для 1400 обучающихся областного Дворца творчества детей и молодёжи.  </w:t>
      </w:r>
    </w:p>
    <w:p w:rsidR="00A46A97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2) Мероприятие 1.2. «Обеспечение оздоровления работников бюджетной сферы в Ульяновской области, в том числе предоставление субсидий из областного бюджета бюджетам муниципальных образований в целях финансового обеспечения оздоровления работников бюджетной сферы Ульянов</w:t>
      </w:r>
      <w:r>
        <w:rPr>
          <w:rFonts w:ascii="Times New Roman" w:hAnsi="Times New Roman" w:cs="Times New Roman"/>
          <w:sz w:val="28"/>
          <w:szCs w:val="28"/>
        </w:rPr>
        <w:t>ской области».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- 6 153,368</w:t>
      </w:r>
      <w:r w:rsidRPr="00CF5235">
        <w:rPr>
          <w:rFonts w:ascii="Times New Roman" w:hAnsi="Times New Roman" w:cs="Times New Roman"/>
          <w:sz w:val="28"/>
          <w:szCs w:val="28"/>
        </w:rPr>
        <w:t xml:space="preserve"> тыс. рублей, освоен</w:t>
      </w:r>
      <w:r>
        <w:rPr>
          <w:rFonts w:ascii="Times New Roman" w:hAnsi="Times New Roman" w:cs="Times New Roman"/>
          <w:sz w:val="28"/>
          <w:szCs w:val="28"/>
        </w:rPr>
        <w:t xml:space="preserve">о - </w:t>
      </w:r>
      <w:r w:rsidRPr="00CF52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711,05559 тыс. рублей, что составляет 60,3%.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lastRenderedPageBreak/>
        <w:t xml:space="preserve">Всего в течение 2017 года обеспечено </w:t>
      </w:r>
      <w:proofErr w:type="gramStart"/>
      <w:r w:rsidRPr="00CF5235">
        <w:rPr>
          <w:rFonts w:ascii="Times New Roman" w:hAnsi="Times New Roman" w:cs="Times New Roman"/>
          <w:sz w:val="28"/>
          <w:szCs w:val="28"/>
        </w:rPr>
        <w:t>оздоровление  572</w:t>
      </w:r>
      <w:proofErr w:type="gramEnd"/>
      <w:r w:rsidRPr="00CF5235">
        <w:rPr>
          <w:rFonts w:ascii="Times New Roman" w:hAnsi="Times New Roman" w:cs="Times New Roman"/>
          <w:sz w:val="28"/>
          <w:szCs w:val="28"/>
        </w:rPr>
        <w:t xml:space="preserve"> работника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5235">
        <w:rPr>
          <w:rFonts w:ascii="Times New Roman" w:hAnsi="Times New Roman" w:cs="Times New Roman"/>
          <w:sz w:val="28"/>
          <w:szCs w:val="28"/>
        </w:rPr>
        <w:t xml:space="preserve"> бюджетной сферы в  санаторно-курортных учреждениях и базах отдыха на территории Ульяновской области и за её пределами.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3) Мероприятие 1.3. «Предоставление субвенций из областного бюджета бюджетам муниципальных образований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пребыванием)»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5235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5235">
        <w:rPr>
          <w:rFonts w:ascii="Times New Roman" w:hAnsi="Times New Roman" w:cs="Times New Roman"/>
          <w:sz w:val="28"/>
          <w:szCs w:val="28"/>
        </w:rPr>
        <w:t xml:space="preserve"> 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222,2 тыс. рублей, освоен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F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5235">
        <w:rPr>
          <w:rFonts w:ascii="Times New Roman" w:hAnsi="Times New Roman" w:cs="Times New Roman"/>
          <w:sz w:val="28"/>
          <w:szCs w:val="28"/>
        </w:rPr>
        <w:t xml:space="preserve"> 54</w:t>
      </w:r>
      <w:r>
        <w:rPr>
          <w:rFonts w:ascii="Times New Roman" w:hAnsi="Times New Roman" w:cs="Times New Roman"/>
          <w:sz w:val="28"/>
          <w:szCs w:val="28"/>
        </w:rPr>
        <w:t xml:space="preserve"> 201,6639 тыс. рублей, ч</w:t>
      </w:r>
      <w:r w:rsidRPr="00CF5235">
        <w:rPr>
          <w:rFonts w:ascii="Times New Roman" w:hAnsi="Times New Roman" w:cs="Times New Roman"/>
          <w:sz w:val="28"/>
          <w:szCs w:val="28"/>
        </w:rPr>
        <w:t>то составляет 99,9%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Предоставленные субсидии были направлены на организацию оздоровительных лагерей с дневным пребыванием на базе общеобразовательных организаций и организаций дополнительного образования. 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На базе 417 образовательных </w:t>
      </w:r>
      <w:proofErr w:type="gramStart"/>
      <w:r w:rsidRPr="00CF5235">
        <w:rPr>
          <w:rFonts w:ascii="Times New Roman" w:hAnsi="Times New Roman" w:cs="Times New Roman"/>
          <w:sz w:val="28"/>
          <w:szCs w:val="28"/>
        </w:rPr>
        <w:t>организаций  Ульяновской</w:t>
      </w:r>
      <w:proofErr w:type="gramEnd"/>
      <w:r w:rsidRPr="00CF5235">
        <w:rPr>
          <w:rFonts w:ascii="Times New Roman" w:hAnsi="Times New Roman" w:cs="Times New Roman"/>
          <w:sz w:val="28"/>
          <w:szCs w:val="28"/>
        </w:rPr>
        <w:t xml:space="preserve"> области в каникулярный период были организованы оздоровительные лагеря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 xml:space="preserve">с дневным пребыванием с общим охватом 33 258 человек (в 2016 г. – 33214 детей). 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Наибольшее количество лагерей с дневным пребыванием было в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Циль</w:t>
      </w:r>
      <w:r>
        <w:rPr>
          <w:rFonts w:ascii="Times New Roman" w:hAnsi="Times New Roman" w:cs="Times New Roman"/>
          <w:sz w:val="28"/>
          <w:szCs w:val="28"/>
        </w:rPr>
        <w:t>нинском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(25),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(21),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 xml:space="preserve">(20) и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Майнском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(20) районах.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Базарносызганском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Карсунском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районах был наибольший охват детей школьного возраста данной формой отдыха: 86% и 70% соответственно. В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Мелекесском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районе лагеря с дневным пребыванием были организованы при всех общеобразовательных учреждениях района.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235">
        <w:rPr>
          <w:rFonts w:ascii="Times New Roman" w:hAnsi="Times New Roman" w:cs="Times New Roman"/>
          <w:b/>
          <w:bCs/>
          <w:sz w:val="28"/>
          <w:szCs w:val="28"/>
        </w:rPr>
        <w:t>«Обеспечение реализации государственной программы»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На реализацию подпрограммы утверждён объём финансирования: всего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F5235">
        <w:rPr>
          <w:rFonts w:ascii="Times New Roman" w:hAnsi="Times New Roman" w:cs="Times New Roman"/>
          <w:sz w:val="28"/>
          <w:szCs w:val="28"/>
        </w:rPr>
        <w:t>840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112,31315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рублей, из них</w:t>
      </w:r>
      <w:r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-</w:t>
      </w:r>
      <w:r w:rsidRPr="00CF5235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381,3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 xml:space="preserve">тыс. рублей, средств областного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2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F5235">
        <w:rPr>
          <w:rFonts w:ascii="Times New Roman" w:hAnsi="Times New Roman" w:cs="Times New Roman"/>
          <w:sz w:val="28"/>
          <w:szCs w:val="28"/>
        </w:rPr>
        <w:t>824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731,01315 тыс. рублей. Освоено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F5235">
        <w:rPr>
          <w:rFonts w:ascii="Times New Roman" w:hAnsi="Times New Roman" w:cs="Times New Roman"/>
          <w:sz w:val="28"/>
          <w:szCs w:val="28"/>
        </w:rPr>
        <w:t xml:space="preserve"> всего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F523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F5235">
        <w:rPr>
          <w:rFonts w:ascii="Times New Roman" w:hAnsi="Times New Roman" w:cs="Times New Roman"/>
          <w:sz w:val="28"/>
          <w:szCs w:val="28"/>
        </w:rPr>
        <w:t>824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567,76499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5235">
        <w:rPr>
          <w:rFonts w:ascii="Times New Roman" w:hAnsi="Times New Roman" w:cs="Times New Roman"/>
          <w:sz w:val="28"/>
          <w:szCs w:val="28"/>
        </w:rPr>
        <w:t xml:space="preserve"> из них средства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F523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319,9585 тыс. рублей</w:t>
      </w:r>
      <w:r w:rsidRPr="00CF5235">
        <w:rPr>
          <w:rFonts w:ascii="Times New Roman" w:hAnsi="Times New Roman" w:cs="Times New Roman"/>
          <w:sz w:val="28"/>
          <w:szCs w:val="28"/>
        </w:rPr>
        <w:t xml:space="preserve">, средства областного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2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F5235">
        <w:rPr>
          <w:rFonts w:ascii="Times New Roman" w:hAnsi="Times New Roman" w:cs="Times New Roman"/>
          <w:sz w:val="28"/>
          <w:szCs w:val="28"/>
        </w:rPr>
        <w:t>809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247,806649 тыс. рублей</w:t>
      </w:r>
      <w:r>
        <w:rPr>
          <w:rFonts w:ascii="Times New Roman" w:hAnsi="Times New Roman" w:cs="Times New Roman"/>
          <w:sz w:val="28"/>
          <w:szCs w:val="28"/>
        </w:rPr>
        <w:t>, ч</w:t>
      </w:r>
      <w:r w:rsidRPr="00CF5235">
        <w:rPr>
          <w:rFonts w:ascii="Times New Roman" w:hAnsi="Times New Roman" w:cs="Times New Roman"/>
          <w:sz w:val="28"/>
          <w:szCs w:val="28"/>
        </w:rPr>
        <w:t>то составляет 99,1 %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Финансовые средства были направлены на реализацию следующих мероприятий подпрограммы:</w:t>
      </w:r>
    </w:p>
    <w:p w:rsidR="00A46A97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1) Мероприятие 1.1. «Обеспечение деятельности центрального аппарата Министерства образования и науки Ульяновской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F5235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5235">
        <w:rPr>
          <w:rFonts w:ascii="Times New Roman" w:hAnsi="Times New Roman" w:cs="Times New Roman"/>
          <w:sz w:val="28"/>
          <w:szCs w:val="28"/>
        </w:rPr>
        <w:t xml:space="preserve"> 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329,2 тыс. рублей, освоен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F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5235"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 xml:space="preserve"> 667,79341 тыс. рублей, ч</w:t>
      </w:r>
      <w:r w:rsidRPr="00CF5235">
        <w:rPr>
          <w:rFonts w:ascii="Times New Roman" w:hAnsi="Times New Roman" w:cs="Times New Roman"/>
          <w:sz w:val="28"/>
          <w:szCs w:val="28"/>
        </w:rPr>
        <w:t>то составляет 96,2 %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A97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2) Мероприятие 1.2. «Обеспечение </w:t>
      </w:r>
      <w:proofErr w:type="gramStart"/>
      <w:r w:rsidRPr="00CF5235">
        <w:rPr>
          <w:rFonts w:ascii="Times New Roman" w:hAnsi="Times New Roman" w:cs="Times New Roman"/>
          <w:sz w:val="28"/>
          <w:szCs w:val="28"/>
        </w:rPr>
        <w:t>деятельности  областных</w:t>
      </w:r>
      <w:proofErr w:type="gramEnd"/>
      <w:r w:rsidRPr="00CF5235">
        <w:rPr>
          <w:rFonts w:ascii="Times New Roman" w:hAnsi="Times New Roman" w:cs="Times New Roman"/>
          <w:sz w:val="28"/>
          <w:szCs w:val="28"/>
        </w:rPr>
        <w:t xml:space="preserve"> государственных учреждений, подведомственных Министерству, в том числе создание условий для укрепления материально-технической базы, эффективного использования энергетических ресурсов, соблюдения требований пожарной безопасности, выполнения текущего ремонта, а также информатизации»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5235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523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774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 xml:space="preserve">945,11315 тыс. рублей, освоение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523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F5235">
        <w:rPr>
          <w:rFonts w:ascii="Times New Roman" w:hAnsi="Times New Roman" w:cs="Times New Roman"/>
          <w:sz w:val="28"/>
          <w:szCs w:val="28"/>
        </w:rPr>
        <w:t>760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972,4974 тыс. руб</w:t>
      </w:r>
      <w:r>
        <w:rPr>
          <w:rFonts w:ascii="Times New Roman" w:hAnsi="Times New Roman" w:cs="Times New Roman"/>
          <w:sz w:val="28"/>
          <w:szCs w:val="28"/>
        </w:rPr>
        <w:t>лей, что составляет 99,2%.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Бюджетные </w:t>
      </w:r>
      <w:proofErr w:type="gramStart"/>
      <w:r w:rsidRPr="00CF5235">
        <w:rPr>
          <w:rFonts w:ascii="Times New Roman" w:hAnsi="Times New Roman" w:cs="Times New Roman"/>
          <w:sz w:val="28"/>
          <w:szCs w:val="28"/>
        </w:rPr>
        <w:t>ассигнования  предоставлены</w:t>
      </w:r>
      <w:proofErr w:type="gramEnd"/>
      <w:r w:rsidRPr="00CF5235">
        <w:rPr>
          <w:rFonts w:ascii="Times New Roman" w:hAnsi="Times New Roman" w:cs="Times New Roman"/>
          <w:sz w:val="28"/>
          <w:szCs w:val="28"/>
        </w:rPr>
        <w:t xml:space="preserve"> подведомственным Министерству образованию и науки УО учреждениям для обеспечения их деятельности в соответствии с потребностью.</w:t>
      </w:r>
    </w:p>
    <w:p w:rsidR="00A46A97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3) Мероприятие 1.3. «Лицензирование и государственная аккредитация образовательной деятельности организаций, осуществляющих образовательную деятельность на территории Ульяновской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5235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5235">
        <w:rPr>
          <w:rFonts w:ascii="Times New Roman" w:hAnsi="Times New Roman" w:cs="Times New Roman"/>
          <w:sz w:val="28"/>
          <w:szCs w:val="28"/>
        </w:rPr>
        <w:t xml:space="preserve"> 704,5тыс. рублей, освоен</w:t>
      </w:r>
      <w:r>
        <w:rPr>
          <w:rFonts w:ascii="Times New Roman" w:hAnsi="Times New Roman" w:cs="Times New Roman"/>
          <w:sz w:val="28"/>
          <w:szCs w:val="28"/>
        </w:rPr>
        <w:t>о - 291,16111 тыс. рублей, что составляет 41,3%.</w:t>
      </w:r>
    </w:p>
    <w:p w:rsidR="00A46A97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Лицензирование и государственная аккредитация образовательной деятельности организаций, осуществляющих образовательную деятельность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Ульяновской области.</w:t>
      </w:r>
    </w:p>
    <w:p w:rsidR="00A46A97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4) Мероприятие 1.4. «Развитие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5235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5235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694тыс.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5235">
        <w:rPr>
          <w:rFonts w:ascii="Times New Roman" w:hAnsi="Times New Roman" w:cs="Times New Roman"/>
          <w:sz w:val="28"/>
          <w:szCs w:val="28"/>
        </w:rPr>
        <w:t xml:space="preserve"> из них средства федерального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2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 xml:space="preserve">486,0 тыс. рублей средства областного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2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208,0 тыс. рублей</w:t>
      </w:r>
      <w:r w:rsidRPr="00CF52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 xml:space="preserve">Освоено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235">
        <w:rPr>
          <w:rFonts w:ascii="Times New Roman" w:hAnsi="Times New Roman" w:cs="Times New Roman"/>
          <w:sz w:val="28"/>
          <w:szCs w:val="28"/>
        </w:rPr>
        <w:t>100%.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Реализация мероприятия осуществлялась по следующим направлениям: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1) Развитие технологического обеспечения процедур оценки качества образования, в том числе: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- материально-техническое оснащение РЦОИ (уровень оснащенности РЦОИ оборудованием для повышения скорости обработки экзаменационных материалов);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- материально-техническое оснащение ППЭ (для применения технологий печати контрольных измерительных материалов в ППЭ, сканирования экзаменационных материалов в ППЭ, проведение раздела «Говорение» единого государственного экзамена по иностранным языкам)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lastRenderedPageBreak/>
        <w:t xml:space="preserve">2) Информационно-методическое сопровождение проведения национально-региональных оценочных процедур (организация обучающих семинаров по внедрению новых технологий, разработка методических материалов по формированию региональных оценочных инструментов для проведения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внутрирегионального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анализа оценки качества общего образования);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3) Создание региональных оценочных инструментов для проведения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внутрирегионального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анализа оценки качества общего образования;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4) Повышение квалификации специалистов, обеспечивающих реализацию мероприятий по развитию национально-региональной системы независимой оценки качества общего образования и создание национальных механизмов оценки качества (в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>. повышение квалификации кадров системы образования в области педагогических измерений, анализа и использования результатов оценочных процедур).</w:t>
      </w:r>
    </w:p>
    <w:p w:rsidR="00A46A97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5) Мероприятие 1.5. «Обеспечение деятельности центрального аппарата Министерства молодёжного развития Ульяновской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-</w:t>
      </w:r>
      <w:r w:rsidRPr="00CF523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544,2 тыс. рублей, освоено - </w:t>
      </w:r>
      <w:r w:rsidRPr="00CF52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35">
        <w:rPr>
          <w:rFonts w:ascii="Times New Roman" w:hAnsi="Times New Roman" w:cs="Times New Roman"/>
          <w:sz w:val="28"/>
          <w:szCs w:val="28"/>
        </w:rPr>
        <w:t>108,35457 тыс. рублей.</w:t>
      </w:r>
    </w:p>
    <w:p w:rsidR="00A46A97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6) Мероприятие 2.1. «Осуществление переданных органам государственной власти субъектов Российской Федерации полномочий Российской Федерации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5235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2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895,3 тыс. рублей, освоено -</w:t>
      </w:r>
      <w:r w:rsidRPr="00CF5235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833,9585 тыс. рублей, что составляет 99,2%.</w:t>
      </w:r>
    </w:p>
    <w:p w:rsidR="00A46A97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proofErr w:type="gramStart"/>
      <w:r w:rsidRPr="00CF5235">
        <w:rPr>
          <w:rFonts w:ascii="Times New Roman" w:hAnsi="Times New Roman" w:cs="Times New Roman"/>
          <w:sz w:val="28"/>
          <w:szCs w:val="28"/>
        </w:rPr>
        <w:t>перечисляются  на</w:t>
      </w:r>
      <w:proofErr w:type="gramEnd"/>
      <w:r w:rsidRPr="00CF5235">
        <w:rPr>
          <w:rFonts w:ascii="Times New Roman" w:hAnsi="Times New Roman" w:cs="Times New Roman"/>
          <w:sz w:val="28"/>
          <w:szCs w:val="28"/>
        </w:rPr>
        <w:t xml:space="preserve"> осуществление полномочий по государственному контролю (надзору) в сфере образования за деятельностью организаций, осуществляющих образовательную деятельность на территории Ульяновской области. Финансирование произведено в соответствии с потребностью.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A97" w:rsidRPr="00CF5235" w:rsidRDefault="00A46A97" w:rsidP="003F59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235">
        <w:rPr>
          <w:rFonts w:ascii="Times New Roman" w:hAnsi="Times New Roman" w:cs="Times New Roman"/>
          <w:b/>
          <w:bCs/>
          <w:sz w:val="28"/>
          <w:szCs w:val="28"/>
        </w:rPr>
        <w:t>Значения целевых индикаторов государственной программы, запланированные на 2017 год, выполнены в полном объёме, в том числе: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235">
        <w:rPr>
          <w:rFonts w:ascii="Times New Roman" w:hAnsi="Times New Roman" w:cs="Times New Roman"/>
          <w:b/>
          <w:bCs/>
          <w:sz w:val="28"/>
          <w:szCs w:val="28"/>
        </w:rPr>
        <w:t>Подпрограмма «Развитие общего образования детей в Ульяновской области»: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доля воспитанников образовательных организаций, осваивающих основные общеобразовательные программы дошкольного образования в соответствии с федеральным государственным образовательным стандартом (да</w:t>
      </w:r>
      <w:r w:rsidRPr="00CF5235">
        <w:rPr>
          <w:rFonts w:ascii="Times New Roman" w:hAnsi="Times New Roman" w:cs="Times New Roman"/>
          <w:sz w:val="28"/>
          <w:szCs w:val="28"/>
        </w:rPr>
        <w:lastRenderedPageBreak/>
        <w:t>лее - ФГОС), в общей численности воспитанников образовательных организаций, реализующих основные общеобразовательные программы дошкольного образования, %: план – 100%, факт – 100%, выполнение – 100%;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доля детей в возрасте от 0 до 7 лет, охваченных различными формами получения дошкольного образования, в общей численности детей в возрасте от 0 до 7 лет, %: план – 71%, факт – 71%, выполнение – 100%;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доля обучающихся общеобразовательных организаций, обучение которых осуществляется в соответствии с требованиями ФГОС, в общей численности обучающихся общеобразовательных организаций, %: план – 89,2%, факт – 89,2%, выполнение – 100%;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доля обучающихся общеобразовательных организаций, занимающихся в одну смену, в общей численности обучающихся общеобразовательных организаций, %: план – 96,52%, факт – 96,52%, выполнение – 100%;</w:t>
      </w:r>
    </w:p>
    <w:p w:rsidR="00A46A97" w:rsidRPr="0087668A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5B32">
        <w:rPr>
          <w:rFonts w:ascii="Times New Roman" w:hAnsi="Times New Roman" w:cs="Times New Roman"/>
          <w:color w:val="auto"/>
          <w:sz w:val="28"/>
          <w:szCs w:val="28"/>
        </w:rPr>
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организаций,</w:t>
      </w:r>
      <w:r w:rsidRPr="00CF5235">
        <w:rPr>
          <w:rFonts w:ascii="Times New Roman" w:hAnsi="Times New Roman" w:cs="Times New Roman"/>
          <w:sz w:val="28"/>
          <w:szCs w:val="28"/>
        </w:rPr>
        <w:t xml:space="preserve"> %: план –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B5B32">
        <w:rPr>
          <w:rFonts w:ascii="Times New Roman" w:hAnsi="Times New Roman" w:cs="Times New Roman"/>
          <w:sz w:val="28"/>
          <w:szCs w:val="28"/>
        </w:rPr>
        <w:t>,</w:t>
      </w:r>
      <w:r w:rsidRPr="00E052BB">
        <w:rPr>
          <w:rFonts w:ascii="Times New Roman" w:hAnsi="Times New Roman" w:cs="Times New Roman"/>
          <w:sz w:val="28"/>
          <w:szCs w:val="28"/>
        </w:rPr>
        <w:t>63</w:t>
      </w:r>
      <w:r w:rsidRPr="00CF5235">
        <w:rPr>
          <w:rFonts w:ascii="Times New Roman" w:hAnsi="Times New Roman" w:cs="Times New Roman"/>
          <w:sz w:val="28"/>
          <w:szCs w:val="28"/>
        </w:rPr>
        <w:t>%, факт –</w:t>
      </w:r>
      <w:r w:rsidRPr="00EB5B32">
        <w:rPr>
          <w:rFonts w:ascii="Times New Roman" w:hAnsi="Times New Roman" w:cs="Times New Roman"/>
          <w:sz w:val="28"/>
          <w:szCs w:val="28"/>
        </w:rPr>
        <w:t>21,63</w:t>
      </w:r>
      <w:r w:rsidRPr="00CF5235">
        <w:rPr>
          <w:rFonts w:ascii="Times New Roman" w:hAnsi="Times New Roman" w:cs="Times New Roman"/>
          <w:sz w:val="28"/>
          <w:szCs w:val="28"/>
        </w:rPr>
        <w:t>%, выполнение – 100%;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доля детей с ограниченными возможностями здоровья (далее - ОВЗ) и детей-инвалидов, которым созданы специальные условия для получения качественного начального общего, основного общего, среднего общего образования (в том числе с использованием дистанционных образовательных технологий), в общей численности детей с ОВЗ и детей-инвалидов школьного возраста, %: план – 94%, факт – 94%, выполнение – 100%;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доля общеобразовательных организаций, в которых создана универсальная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среда для инклюзивного образования детей-инвалидов, в общем количестве общеобразовательных организаций, %: план – 22,3%, факт – 22,3%, выполнение – 100%;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доля обучающихся по образовательным программам начального общего, основного общего, среднего общего образования, участвующих во всероссийской олимпиаде школьников по общеобразовательным предметам, в общей численности обучающихся по образовательным программам начального общего, основного общего, среднего общего образования, %: план – 45,5%, факт – 54%, выполнение – 118,7%;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доля зданий муниципальных общеобразовательных организаций, требующих капитального ремонта, в общем количестве зданий муниципальных общеобразовательных организаций, %: план – 11%, факт – 11%, выполнение – 100%;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lastRenderedPageBreak/>
        <w:t>доля зданий муниципальных дошкольных образовательных организаций, требующих капитального ремонта, в общем количестве зданий муниципальных дошкольных образовательных организаций, %: план – 58%, факт – 58%, выполнение – 100%;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доля детей-инвалидов в возрасте от 1,5 до 7 лет, охваченных дошкольным образованием, в общей численности детей-инвалидов данного возраста, %: план – 85%, факт – 85%, выполнение – 100%;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возраста, %: план – 97%, факт – 97%, выполнение – 100%;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 xml:space="preserve">доля дошкольных образовательных организаций, в которых создана универсальная </w:t>
      </w:r>
      <w:proofErr w:type="spellStart"/>
      <w:r w:rsidRPr="00CF5235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CF5235">
        <w:rPr>
          <w:rFonts w:ascii="Times New Roman" w:hAnsi="Times New Roman" w:cs="Times New Roman"/>
          <w:sz w:val="28"/>
          <w:szCs w:val="28"/>
        </w:rPr>
        <w:t xml:space="preserve"> среда для инклюзивного образования детей-инвалидов, в общем количестве дошкольных образовательных организаций, %: план – 17%, факт – 17%, выполнение – 100%;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организаций, %: план – 18%, факт – 18%, выполнение – 100%;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количество школьных автобусов, приобретённых общеобразовательными организациями, ед.: план – 23 ед., факт – 23 ед., выполнение – 100%;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доля обучающихся, занимающихся в зданиях общеобразовательных организаций, требующих капитального ремонта или реконструкции, в общей численности обучающихся общеобразовательных организаций, %: план – 3,47%, факт – 3,47%, выполнение – 100%;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доля обучающихся, занимающихся в зданиях общеобразовательных организаций, имеющих все виды благоустройств, в общей численности обучающихся общеобразовательных организаций, %: план – 98,9%, факт – 98,2%, выполнение – 100%;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235">
        <w:rPr>
          <w:rFonts w:ascii="Times New Roman" w:hAnsi="Times New Roman" w:cs="Times New Roman"/>
          <w:b/>
          <w:bCs/>
          <w:sz w:val="28"/>
          <w:szCs w:val="28"/>
        </w:rPr>
        <w:t>Подпрограмма «Развитие среднего профессионального образования в Ульяновской области»: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доля выпускников профессиональных образовательных организаций, обучавшихся по очной форме обучения, трудоустроившихся в течение одного года после завершения обучения по полученной профессии, специальности среднего профессионального образования, в общей численности выпускников профессиональных образовательных организаций, обучавшихся по очной форме обучения, %: план – 53,3%, факт – 63%, выполнение – 118,2%;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lastRenderedPageBreak/>
        <w:t>доля студентов профессиональных образовательных организаций, обучающихся по очной форме обучения и принимающих участие в конкурсах, целью которых является поддержка социальных инициатив и развития проектной деятельности, в общей численности студентов профессиональных образовательных организаций, обучающихся по очной форме обучения, %: план – 25%, факт – 25%, выполнение – 100%;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доля образовательных организаций среднего профессионального и высшего образования,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здоровья, в том числе с использованием дистанционных образовательных технологий, в общем количестве таких организаций, %: план – 17%, факт – 17%, выполнение – 100%;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доля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профессиональных образовательных организаций, %: план – 20%, факт – 40%, выполнение – 200%;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доля студентов профессиональных образовательных организаций, обучающихся по образовательным программам, в реализации которых участвуют работодатели (включая организацию учебной и производственной практики, предоставление оборудования и материалов, участие в разработке образовательных программ и оценке результатов их освоения, проведении учебных занятий), в общей численности студентов профессиональных образовательных организаций, %: план – 87%, факт – 87%, выполнение – 100%;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доля инвалидов, принятых на обучение по программам среднего профессионального образования (по отношению к предыдущему году</w:t>
      </w:r>
      <w:proofErr w:type="gramStart"/>
      <w:r w:rsidRPr="00CF5235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CF5235">
        <w:rPr>
          <w:rFonts w:ascii="Times New Roman" w:hAnsi="Times New Roman" w:cs="Times New Roman"/>
          <w:sz w:val="28"/>
          <w:szCs w:val="28"/>
        </w:rPr>
        <w:t xml:space="preserve"> %: план – 102%, факт – 102%, выполнение – 100%;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неуспеваемости, %: план – 8%, факт –0%, выполнение 100</w:t>
      </w:r>
      <w:proofErr w:type="gramStart"/>
      <w:r w:rsidRPr="00CF5235">
        <w:rPr>
          <w:rFonts w:ascii="Times New Roman" w:hAnsi="Times New Roman" w:cs="Times New Roman"/>
          <w:sz w:val="28"/>
          <w:szCs w:val="28"/>
        </w:rPr>
        <w:t>% ;</w:t>
      </w:r>
      <w:proofErr w:type="gramEnd"/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235">
        <w:rPr>
          <w:rFonts w:ascii="Times New Roman" w:hAnsi="Times New Roman" w:cs="Times New Roman"/>
          <w:b/>
          <w:bCs/>
          <w:sz w:val="28"/>
          <w:szCs w:val="28"/>
        </w:rPr>
        <w:t>Подпрограмма «Развитие дополнительного образования детей и реализация мероприятий молодёжной политики»: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доля детей в возрасте от 5 до 18 лет, обеспеченных дополнительным образованием, в общей численности детей в возрасте от 5 до 18 лет, %: план – 75%, факт – 82,1%, выполнение – 109,5%;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численность детей, дополнительно охваченных дополнительными общеобразовательными программами, соответствующими приоритетным направлениям технологического развития Российской Федерации, чел.: план – 1050, факт – 1050, выполнение – 100%;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lastRenderedPageBreak/>
        <w:t>доля молодых людей в возрасте от 14 до 30 лет, участвующих в деятельности молодёжных общественных объединений, в общей численности молодых людей в возрасте от 14 до 30 лет, %: план – 15%, факт – 15%, выполнение – 100%;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доля детей-инвалидов в возрасте от 5 до 18 лет, получающих дополнительное образование, от общей численности детей-инвалидов данного возраста, %: план – 35%, факт – 48,4%, выполнение – 138,3%;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235">
        <w:rPr>
          <w:rFonts w:ascii="Times New Roman" w:hAnsi="Times New Roman" w:cs="Times New Roman"/>
          <w:b/>
          <w:bCs/>
          <w:sz w:val="28"/>
          <w:szCs w:val="28"/>
        </w:rPr>
        <w:t>Подпрограмма «Сохранение, развитие и продвижение русского языка и культуры Ульяновской области»: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численность участников культурно-просветительских мероприятий, популяризирующих русский язык, литературу и культуру России, чел.: план – 4200, факт – 4200, выполнение – 100%;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235">
        <w:rPr>
          <w:rFonts w:ascii="Times New Roman" w:hAnsi="Times New Roman" w:cs="Times New Roman"/>
          <w:b/>
          <w:bCs/>
          <w:sz w:val="28"/>
          <w:szCs w:val="28"/>
        </w:rPr>
        <w:t>Подпрограмма «Организация отдыха, оздоровления детей и работников бюджетной сферы в Ульяновской области»: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доля обучающихся общеобразовательных организаций, обеспеченных отдыхом и оздоровлением, в общей численности обучающихся общеобразовательных организаций, %: план – 83%, факт – 83%, выполнение – 100%;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доля работников бюджетной сферы в Ульяновской области, реализовавших право на оздоровление, в общей численности работников бюджетной сферы в Ульяновской области, имеющих право на оздоровление, %: план – 3%, факт – 3%, выполнение – 100%;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235">
        <w:rPr>
          <w:rFonts w:ascii="Times New Roman" w:hAnsi="Times New Roman" w:cs="Times New Roman"/>
          <w:b/>
          <w:bCs/>
          <w:sz w:val="28"/>
          <w:szCs w:val="28"/>
        </w:rPr>
        <w:t>Подпрограмма «Обеспечение реализации государственной программы»: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доля образовательных организаций, в которых созданы коллегиальные органы управления с участием родителей (законных представителей), работодателей, в общем количестве образовательных организаций, %: план – 100%, факт – 100%, выполнение – 100%;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число уровней образования, на которых осуществляется независимая оценка качества образования, ед.: план – 5 ед., факт – 5 ед., выполнение – 100%;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количество педагогических работников, аттестованных на квалификационные категории, ед.: план – 2100 ед., факт – 3242 ед., выполнение – 154,4%;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количество пунктов приёма экзаменов, в которых созданы условия для проведения государственной итоговой аттестации, соответствующие требованиям, установленным Федеральной службой по надзору в сфере образования и науки, ед.: план – 45 ед., факт – 45 ед., выполнение – 100%;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lastRenderedPageBreak/>
        <w:t>доля пунктов проведения экзаменов, оснащённых сканерами для выполнения сканирования экзаменационных работ участников единого государственного экзамена, в общем количестве пунктов проведения экзаменов в день проведения экзаменов, %: план – 45 %., факт – 45 %., выполнение – 100%;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доля пунктов проведения экзаменов, оснащённых принтерами для использования технологии "Печать контрольных измерительных материалов в пункте проведения экзамена", в общем количестве пунктов проведения экзаменов в день проведения экзаменов, %: план – 80 %, факт – 80 %, выполнение – 100%;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количество разработанных программ подготовки и (или) повышения квалификации педагогических работников в области оценки качества образования (в том числе в области педагогических измерений, анализа и использования результатов оценочных процедур), ед.: план – 3 ед., факт –5 ед., выполнение – 166,7%;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доля заявлений о приёме на обучение по образовательным программам дошкольного образования, представленных в форме электронного документа, в общем количестве указанных заявлений, %: план – 80 %, факт – 80%, выполнение – 100%;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Степень достижения плановых значений целевых индикаторов государственной программы, %: план – 100 %, факт – 10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>%,;</w:t>
      </w:r>
      <w:proofErr w:type="gramEnd"/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*Удельный расход электрической энергии для электроснабжения областных государственных общеобразовательных организаций и организаций дополнительного образования (в расчёте на 1 кв. метр общей площади);</w:t>
      </w:r>
    </w:p>
    <w:p w:rsidR="00A46A97" w:rsidRPr="00CF5235" w:rsidRDefault="00A46A97" w:rsidP="00CF5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*Удельный расход тепловой энергии для теплоснабжения областных государственных общеобразовательных организаций и организаций дополнительного образования (в расчёте на 1 кв. метр общей площади);</w:t>
      </w:r>
    </w:p>
    <w:p w:rsidR="00A46A97" w:rsidRDefault="00A46A97" w:rsidP="00705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35">
        <w:rPr>
          <w:rFonts w:ascii="Times New Roman" w:hAnsi="Times New Roman" w:cs="Times New Roman"/>
          <w:sz w:val="28"/>
          <w:szCs w:val="28"/>
        </w:rPr>
        <w:t>Примечание: * - значение данных целевых показателей отдел ТО и КБ ОГКУ УОДО может предоставить только в феврале</w:t>
      </w:r>
      <w:r w:rsidR="005157D0">
        <w:rPr>
          <w:rFonts w:ascii="Times New Roman" w:hAnsi="Times New Roman" w:cs="Times New Roman"/>
          <w:sz w:val="28"/>
          <w:szCs w:val="28"/>
        </w:rPr>
        <w:t xml:space="preserve"> </w:t>
      </w:r>
      <w:r w:rsidR="005157D0" w:rsidRPr="005157D0">
        <w:rPr>
          <w:rFonts w:ascii="Times New Roman" w:hAnsi="Times New Roman" w:cs="Times New Roman"/>
          <w:sz w:val="28"/>
          <w:szCs w:val="28"/>
        </w:rPr>
        <w:t xml:space="preserve">2018 года в связи с тем что сводная информация берётся из программного </w:t>
      </w:r>
      <w:proofErr w:type="gramStart"/>
      <w:r w:rsidR="005157D0" w:rsidRPr="005157D0">
        <w:rPr>
          <w:rFonts w:ascii="Times New Roman" w:hAnsi="Times New Roman" w:cs="Times New Roman"/>
          <w:sz w:val="28"/>
          <w:szCs w:val="28"/>
        </w:rPr>
        <w:t>модуля  "</w:t>
      </w:r>
      <w:proofErr w:type="gramEnd"/>
      <w:r w:rsidR="005157D0" w:rsidRPr="005157D0">
        <w:rPr>
          <w:rFonts w:ascii="Times New Roman" w:hAnsi="Times New Roman" w:cs="Times New Roman"/>
          <w:sz w:val="28"/>
          <w:szCs w:val="28"/>
        </w:rPr>
        <w:t>Информация об эне</w:t>
      </w:r>
      <w:r w:rsidR="005157D0">
        <w:rPr>
          <w:rFonts w:ascii="Times New Roman" w:hAnsi="Times New Roman" w:cs="Times New Roman"/>
          <w:sz w:val="28"/>
          <w:szCs w:val="28"/>
        </w:rPr>
        <w:t>р</w:t>
      </w:r>
      <w:r w:rsidR="005157D0" w:rsidRPr="005157D0">
        <w:rPr>
          <w:rFonts w:ascii="Times New Roman" w:hAnsi="Times New Roman" w:cs="Times New Roman"/>
          <w:sz w:val="28"/>
          <w:szCs w:val="28"/>
        </w:rPr>
        <w:t>госбережении и повышении энергетической эффективности " после зап</w:t>
      </w:r>
      <w:r w:rsidR="005157D0">
        <w:rPr>
          <w:rFonts w:ascii="Times New Roman" w:hAnsi="Times New Roman" w:cs="Times New Roman"/>
          <w:sz w:val="28"/>
          <w:szCs w:val="28"/>
        </w:rPr>
        <w:t>о</w:t>
      </w:r>
      <w:r w:rsidR="005157D0" w:rsidRPr="005157D0">
        <w:rPr>
          <w:rFonts w:ascii="Times New Roman" w:hAnsi="Times New Roman" w:cs="Times New Roman"/>
          <w:sz w:val="28"/>
          <w:szCs w:val="28"/>
        </w:rPr>
        <w:t>лнения учреждениями данных (срок до 1 марта 2018 года)</w:t>
      </w:r>
    </w:p>
    <w:p w:rsidR="00A46A97" w:rsidRDefault="00A46A97" w:rsidP="00705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A97" w:rsidRDefault="00A46A97" w:rsidP="00705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A5B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государ</w:t>
      </w:r>
      <w:r>
        <w:rPr>
          <w:rFonts w:ascii="Times New Roman" w:hAnsi="Times New Roman" w:cs="Times New Roman"/>
          <w:b/>
          <w:bCs/>
          <w:sz w:val="28"/>
          <w:szCs w:val="28"/>
        </w:rPr>
        <w:t>ственной программы за 2017 год</w:t>
      </w:r>
    </w:p>
    <w:p w:rsidR="00A46A97" w:rsidRPr="005E539E" w:rsidRDefault="00A46A97" w:rsidP="009E69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05A5B">
        <w:rPr>
          <w:rFonts w:ascii="Times New Roman" w:hAnsi="Times New Roman" w:cs="Times New Roman"/>
          <w:sz w:val="28"/>
          <w:szCs w:val="28"/>
        </w:rPr>
        <w:t xml:space="preserve">В соответствии с формулой </w:t>
      </w:r>
      <w:r w:rsidRPr="005E539E">
        <w:rPr>
          <w:rFonts w:ascii="Times New Roman" w:hAnsi="Times New Roman" w:cs="Times New Roman"/>
          <w:b/>
          <w:bCs/>
          <w:sz w:val="28"/>
          <w:szCs w:val="28"/>
        </w:rPr>
        <w:t>оценки степени достижения целей и решения задач государственной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46A97" w:rsidRPr="00705A5B" w:rsidRDefault="00E30BE0" w:rsidP="00705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5716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6A97" w:rsidRPr="00705A5B">
        <w:rPr>
          <w:rFonts w:ascii="Times New Roman" w:hAnsi="Times New Roman" w:cs="Times New Roman"/>
          <w:sz w:val="28"/>
          <w:szCs w:val="28"/>
        </w:rPr>
        <w:t>, где</w:t>
      </w:r>
    </w:p>
    <w:p w:rsidR="00A46A97" w:rsidRPr="00705A5B" w:rsidRDefault="00A46A97" w:rsidP="00705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A97" w:rsidRPr="00705A5B" w:rsidRDefault="00A46A97" w:rsidP="00A94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E539E">
        <w:rPr>
          <w:rFonts w:ascii="Times New Roman" w:hAnsi="Times New Roman" w:cs="Times New Roman"/>
          <w:sz w:val="28"/>
          <w:szCs w:val="28"/>
          <w:vertAlign w:val="subscript"/>
        </w:rPr>
        <w:t xml:space="preserve">ц </w:t>
      </w:r>
      <w:r w:rsidRPr="00705A5B">
        <w:rPr>
          <w:rFonts w:ascii="Times New Roman" w:hAnsi="Times New Roman" w:cs="Times New Roman"/>
          <w:sz w:val="28"/>
          <w:szCs w:val="28"/>
        </w:rPr>
        <w:t>- количество целевых индикаторов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39 показателей</w:t>
      </w:r>
      <w:r w:rsidRPr="00705A5B">
        <w:rPr>
          <w:rFonts w:ascii="Times New Roman" w:hAnsi="Times New Roman" w:cs="Times New Roman"/>
          <w:sz w:val="28"/>
          <w:szCs w:val="28"/>
        </w:rPr>
        <w:t>;</w:t>
      </w:r>
    </w:p>
    <w:p w:rsidR="00A46A97" w:rsidRDefault="00A46A97" w:rsidP="00A94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СДЦ</w:t>
      </w:r>
      <w:proofErr w:type="spellStart"/>
      <w:r w:rsidRPr="005E539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5E539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05A5B">
        <w:rPr>
          <w:rFonts w:ascii="Times New Roman" w:hAnsi="Times New Roman" w:cs="Times New Roman"/>
          <w:sz w:val="28"/>
          <w:szCs w:val="28"/>
        </w:rPr>
        <w:t>- степень достижения значения i-ого целевого индикатора государствен</w:t>
      </w:r>
      <w:r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A46A97" w:rsidRPr="00705A5B" w:rsidRDefault="00A46A97" w:rsidP="00A94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454">
        <w:rPr>
          <w:rFonts w:ascii="Times New Roman" w:hAnsi="Times New Roman" w:cs="Times New Roman"/>
          <w:sz w:val="28"/>
          <w:szCs w:val="28"/>
        </w:rPr>
        <w:t xml:space="preserve">СДЦ </w:t>
      </w:r>
      <w:r w:rsidRPr="00705A5B">
        <w:rPr>
          <w:rFonts w:ascii="Times New Roman" w:hAnsi="Times New Roman" w:cs="Times New Roman"/>
          <w:sz w:val="28"/>
          <w:szCs w:val="28"/>
        </w:rPr>
        <w:t>- степень достижения значения целевого индикатора государственной программы</w:t>
      </w:r>
      <w:r w:rsidRPr="005E539E">
        <w:rPr>
          <w:rFonts w:ascii="Times New Roman" w:hAnsi="Times New Roman" w:cs="Times New Roman"/>
          <w:sz w:val="28"/>
          <w:szCs w:val="28"/>
        </w:rPr>
        <w:t xml:space="preserve"> - </w:t>
      </w:r>
      <w:r w:rsidRPr="00705A5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3527B2">
        <w:rPr>
          <w:rFonts w:ascii="Times New Roman" w:hAnsi="Times New Roman" w:cs="Times New Roman"/>
          <w:b/>
          <w:bCs/>
          <w:sz w:val="28"/>
          <w:szCs w:val="28"/>
        </w:rPr>
        <w:t>101,4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%,</w:t>
      </w:r>
      <w:r w:rsidRPr="00705A5B">
        <w:rPr>
          <w:rFonts w:ascii="Times New Roman" w:hAnsi="Times New Roman" w:cs="Times New Roman"/>
          <w:sz w:val="28"/>
          <w:szCs w:val="28"/>
        </w:rPr>
        <w:t xml:space="preserve"> что соответствует высокой степени эффективности реализации государственной программы.</w:t>
      </w:r>
    </w:p>
    <w:p w:rsidR="00A46A97" w:rsidRPr="00705A5B" w:rsidRDefault="00A46A97" w:rsidP="00A94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A46A97" w:rsidRPr="009E69B5" w:rsidRDefault="00A46A97" w:rsidP="00A94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B3454">
        <w:rPr>
          <w:rFonts w:ascii="Times New Roman" w:hAnsi="Times New Roman" w:cs="Times New Roman"/>
          <w:b/>
          <w:bCs/>
          <w:sz w:val="28"/>
          <w:szCs w:val="28"/>
        </w:rPr>
        <w:t xml:space="preserve">Оценка </w:t>
      </w:r>
      <w:proofErr w:type="gramStart"/>
      <w:r w:rsidRPr="004B3454">
        <w:rPr>
          <w:rFonts w:ascii="Times New Roman" w:hAnsi="Times New Roman" w:cs="Times New Roman"/>
          <w:b/>
          <w:bCs/>
          <w:sz w:val="28"/>
          <w:szCs w:val="28"/>
        </w:rPr>
        <w:t>соотношения</w:t>
      </w:r>
      <w:proofErr w:type="gramEnd"/>
      <w:r w:rsidRPr="004B3454">
        <w:rPr>
          <w:rFonts w:ascii="Times New Roman" w:hAnsi="Times New Roman" w:cs="Times New Roman"/>
          <w:b/>
          <w:bCs/>
          <w:sz w:val="28"/>
          <w:szCs w:val="28"/>
        </w:rPr>
        <w:t xml:space="preserve"> фактического и запланированного объёмов финансового обеспечения реализации государственной программы</w:t>
      </w:r>
      <w:r w:rsidRPr="009E69B5">
        <w:rPr>
          <w:rFonts w:ascii="Times New Roman" w:hAnsi="Times New Roman" w:cs="Times New Roman"/>
          <w:sz w:val="28"/>
          <w:szCs w:val="28"/>
        </w:rPr>
        <w:t xml:space="preserve"> осуществляется по сле</w:t>
      </w:r>
      <w:r>
        <w:rPr>
          <w:rFonts w:ascii="Times New Roman" w:hAnsi="Times New Roman" w:cs="Times New Roman"/>
          <w:sz w:val="28"/>
          <w:szCs w:val="28"/>
        </w:rPr>
        <w:t>дующей формуле</w:t>
      </w:r>
      <w:r w:rsidRPr="009E69B5">
        <w:rPr>
          <w:rFonts w:ascii="Times New Roman" w:hAnsi="Times New Roman" w:cs="Times New Roman"/>
          <w:sz w:val="28"/>
          <w:szCs w:val="28"/>
        </w:rPr>
        <w:t>:</w:t>
      </w:r>
    </w:p>
    <w:p w:rsidR="00A46A97" w:rsidRPr="00B716A6" w:rsidRDefault="00E30BE0" w:rsidP="00A94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085850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086" w:rsidRPr="008B2086">
        <w:rPr>
          <w:sz w:val="52"/>
          <w:szCs w:val="52"/>
          <w:vertAlign w:val="superscript"/>
        </w:rPr>
        <w:t xml:space="preserve"> * 100</w:t>
      </w:r>
      <w:r w:rsidR="008B2086">
        <w:rPr>
          <w:sz w:val="52"/>
          <w:szCs w:val="52"/>
          <w:vertAlign w:val="superscript"/>
        </w:rPr>
        <w:t>%</w:t>
      </w:r>
      <w:bookmarkStart w:id="2" w:name="_GoBack"/>
      <w:bookmarkEnd w:id="2"/>
      <w:r w:rsidR="008B2086" w:rsidRPr="008B2086">
        <w:t xml:space="preserve"> </w:t>
      </w:r>
      <w:r w:rsidR="00A46A97" w:rsidRPr="00970D14">
        <w:t>,</w:t>
      </w:r>
      <w:r w:rsidR="008B2086">
        <w:t xml:space="preserve">   </w:t>
      </w:r>
      <w:r w:rsidR="00A46A97" w:rsidRPr="00B716A6">
        <w:t xml:space="preserve"> </w:t>
      </w:r>
      <w:r w:rsidR="00A46A97">
        <w:t>где</w:t>
      </w:r>
    </w:p>
    <w:p w:rsidR="00A46A97" w:rsidRPr="00B716A6" w:rsidRDefault="00A46A97" w:rsidP="00A94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B716A6">
        <w:rPr>
          <w:rFonts w:ascii="Times New Roman" w:hAnsi="Times New Roman" w:cs="Times New Roman"/>
          <w:sz w:val="28"/>
          <w:szCs w:val="28"/>
        </w:rPr>
        <w:t xml:space="preserve"> ФУФ - фактический объём финансового обеспечения реализации государственной программы;</w:t>
      </w:r>
    </w:p>
    <w:p w:rsidR="00A46A97" w:rsidRDefault="00A46A97" w:rsidP="00A94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B716A6">
        <w:rPr>
          <w:rFonts w:ascii="Times New Roman" w:hAnsi="Times New Roman" w:cs="Times New Roman"/>
          <w:sz w:val="28"/>
          <w:szCs w:val="28"/>
        </w:rPr>
        <w:t>УФП - запланированный объём финансового обеспечения реализации государственной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A46A97" w:rsidRPr="00705A5B" w:rsidRDefault="00A46A97" w:rsidP="00A94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B716A6">
        <w:rPr>
          <w:rFonts w:ascii="Times New Roman" w:hAnsi="Times New Roman" w:cs="Times New Roman"/>
          <w:sz w:val="28"/>
          <w:szCs w:val="28"/>
        </w:rPr>
        <w:t>УФП</w:t>
      </w: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Pr="00705A5B">
        <w:rPr>
          <w:rFonts w:ascii="Times New Roman" w:hAnsi="Times New Roman" w:cs="Times New Roman"/>
          <w:sz w:val="28"/>
          <w:szCs w:val="28"/>
        </w:rPr>
        <w:t xml:space="preserve">апланированный объём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обеспечения реализации государственной программы </w:t>
      </w:r>
      <w:r w:rsidRPr="00705A5B">
        <w:rPr>
          <w:rFonts w:ascii="Times New Roman" w:hAnsi="Times New Roman" w:cs="Times New Roman"/>
          <w:sz w:val="28"/>
          <w:szCs w:val="28"/>
        </w:rPr>
        <w:t>в 2017 году</w:t>
      </w:r>
      <w:r>
        <w:rPr>
          <w:rFonts w:ascii="Times New Roman" w:hAnsi="Times New Roman" w:cs="Times New Roman"/>
          <w:sz w:val="28"/>
          <w:szCs w:val="28"/>
        </w:rPr>
        <w:t xml:space="preserve"> согласно утверждённого план – графика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705A5B">
        <w:rPr>
          <w:rFonts w:ascii="Times New Roman" w:hAnsi="Times New Roman" w:cs="Times New Roman"/>
          <w:sz w:val="28"/>
          <w:szCs w:val="28"/>
        </w:rPr>
        <w:t xml:space="preserve"> 11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705A5B">
        <w:rPr>
          <w:rFonts w:ascii="Times New Roman" w:hAnsi="Times New Roman" w:cs="Times New Roman"/>
          <w:sz w:val="28"/>
          <w:szCs w:val="28"/>
        </w:rPr>
        <w:t>687</w:t>
      </w:r>
      <w:r w:rsidRPr="00856F51">
        <w:rPr>
          <w:rFonts w:ascii="Times New Roman" w:hAnsi="Times New Roman" w:cs="Times New Roman"/>
          <w:sz w:val="28"/>
          <w:szCs w:val="28"/>
        </w:rPr>
        <w:t xml:space="preserve"> </w:t>
      </w:r>
      <w:r w:rsidRPr="00705A5B">
        <w:rPr>
          <w:rFonts w:ascii="Times New Roman" w:hAnsi="Times New Roman" w:cs="Times New Roman"/>
          <w:sz w:val="28"/>
          <w:szCs w:val="28"/>
        </w:rPr>
        <w:t>641,47495 тыс. рублей;</w:t>
      </w:r>
    </w:p>
    <w:p w:rsidR="00A46A97" w:rsidRPr="00705A5B" w:rsidRDefault="00A46A97" w:rsidP="00A94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ФУФ</w:t>
      </w:r>
      <w:r w:rsidRPr="00B71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1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фактический объём финансового обеспечения реализации государственной программы </w:t>
      </w:r>
      <w:r w:rsidRPr="00705A5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5A5B">
        <w:rPr>
          <w:rFonts w:ascii="Times New Roman" w:hAnsi="Times New Roman" w:cs="Times New Roman"/>
          <w:sz w:val="28"/>
          <w:szCs w:val="28"/>
        </w:rPr>
        <w:t>639</w:t>
      </w:r>
      <w:r w:rsidRPr="00856F51">
        <w:rPr>
          <w:rFonts w:ascii="Times New Roman" w:hAnsi="Times New Roman" w:cs="Times New Roman"/>
          <w:sz w:val="28"/>
          <w:szCs w:val="28"/>
        </w:rPr>
        <w:t xml:space="preserve"> </w:t>
      </w:r>
      <w:r w:rsidRPr="00705A5B">
        <w:rPr>
          <w:rFonts w:ascii="Times New Roman" w:hAnsi="Times New Roman" w:cs="Times New Roman"/>
          <w:sz w:val="28"/>
          <w:szCs w:val="28"/>
        </w:rPr>
        <w:t>108,92319 тыс. рублей;</w:t>
      </w:r>
    </w:p>
    <w:p w:rsidR="00A46A97" w:rsidRDefault="00A46A97" w:rsidP="00A94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05A5B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3527B2">
        <w:rPr>
          <w:rFonts w:ascii="Times New Roman" w:hAnsi="Times New Roman" w:cs="Times New Roman"/>
          <w:b/>
          <w:bCs/>
          <w:sz w:val="28"/>
          <w:szCs w:val="28"/>
        </w:rPr>
        <w:t>УФ</w:t>
      </w:r>
      <w:r w:rsidRPr="00705A5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3527B2">
        <w:rPr>
          <w:rFonts w:ascii="Times New Roman" w:hAnsi="Times New Roman" w:cs="Times New Roman"/>
          <w:b/>
          <w:bCs/>
          <w:sz w:val="28"/>
          <w:szCs w:val="28"/>
        </w:rPr>
        <w:t>99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527B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05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705A5B">
        <w:rPr>
          <w:rFonts w:ascii="Times New Roman" w:hAnsi="Times New Roman" w:cs="Times New Roman"/>
          <w:sz w:val="28"/>
          <w:szCs w:val="28"/>
        </w:rPr>
        <w:t>т.е. затраты фактически соответствуют их запланированному уровню, что подтверждает эффективность использования финансовых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A97" w:rsidRDefault="00A46A97" w:rsidP="00A94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A46A97" w:rsidRPr="004B3454" w:rsidRDefault="00A46A97" w:rsidP="00A94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454">
        <w:rPr>
          <w:rFonts w:ascii="Times New Roman" w:hAnsi="Times New Roman" w:cs="Times New Roman"/>
          <w:sz w:val="28"/>
          <w:szCs w:val="28"/>
        </w:rPr>
        <w:t>3.</w:t>
      </w:r>
      <w:r w:rsidRPr="004B3454">
        <w:rPr>
          <w:rFonts w:ascii="Times New Roman" w:hAnsi="Times New Roman" w:cs="Times New Roman"/>
          <w:b/>
          <w:bCs/>
          <w:sz w:val="28"/>
          <w:szCs w:val="28"/>
        </w:rPr>
        <w:t>Оценка степени достижения плановых значений показателей, характеризующих ожидаемый эффект от реализации мероприятий государственной программы</w:t>
      </w:r>
      <w:r w:rsidRPr="004B3454">
        <w:rPr>
          <w:rFonts w:ascii="Times New Roman" w:hAnsi="Times New Roman" w:cs="Times New Roman"/>
          <w:sz w:val="28"/>
          <w:szCs w:val="28"/>
        </w:rPr>
        <w:t>, осуществляется по следующей формуле:</w:t>
      </w:r>
    </w:p>
    <w:p w:rsidR="00A46A97" w:rsidRPr="00E57ACA" w:rsidRDefault="00A46A97" w:rsidP="00A94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6A97" w:rsidRPr="004B3454" w:rsidRDefault="00E30BE0" w:rsidP="00A94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2100" cy="657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6A97" w:rsidRPr="004B3454">
        <w:rPr>
          <w:rFonts w:ascii="Times New Roman" w:hAnsi="Times New Roman" w:cs="Times New Roman"/>
          <w:sz w:val="28"/>
          <w:szCs w:val="28"/>
        </w:rPr>
        <w:t>, где</w:t>
      </w:r>
    </w:p>
    <w:p w:rsidR="00A46A97" w:rsidRPr="00E57ACA" w:rsidRDefault="00A46A97" w:rsidP="00A94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6A97" w:rsidRPr="004B3454" w:rsidRDefault="00A46A97" w:rsidP="00A94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B3454">
        <w:rPr>
          <w:rFonts w:ascii="Times New Roman" w:hAnsi="Times New Roman" w:cs="Times New Roman"/>
          <w:sz w:val="28"/>
          <w:szCs w:val="28"/>
        </w:rPr>
        <w:lastRenderedPageBreak/>
        <w:t>n</w:t>
      </w:r>
      <w:r w:rsidRPr="004B3454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Pr="004B3454">
        <w:rPr>
          <w:rFonts w:ascii="Times New Roman" w:hAnsi="Times New Roman" w:cs="Times New Roman"/>
          <w:sz w:val="28"/>
          <w:szCs w:val="28"/>
        </w:rPr>
        <w:t xml:space="preserve"> - количество показателей ожидаемого эффекта от реализации мероприятий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22 показателя</w:t>
      </w:r>
      <w:r w:rsidRPr="004B3454">
        <w:rPr>
          <w:rFonts w:ascii="Times New Roman" w:hAnsi="Times New Roman" w:cs="Times New Roman"/>
          <w:sz w:val="28"/>
          <w:szCs w:val="28"/>
        </w:rPr>
        <w:t>;</w:t>
      </w:r>
    </w:p>
    <w:p w:rsidR="00A46A97" w:rsidRPr="003527B2" w:rsidRDefault="00A46A97" w:rsidP="00A94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B3454">
        <w:rPr>
          <w:rFonts w:ascii="Times New Roman" w:hAnsi="Times New Roman" w:cs="Times New Roman"/>
          <w:sz w:val="28"/>
          <w:szCs w:val="28"/>
        </w:rPr>
        <w:t>СДЭ</w:t>
      </w:r>
      <w:r w:rsidRPr="004B345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B3454">
        <w:rPr>
          <w:rFonts w:ascii="Times New Roman" w:hAnsi="Times New Roman" w:cs="Times New Roman"/>
          <w:sz w:val="28"/>
          <w:szCs w:val="28"/>
        </w:rPr>
        <w:t xml:space="preserve"> - степень достижения значения i-ого показателя ожидаемого эффекта от реализации мероприятий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A97" w:rsidRPr="004B3454" w:rsidRDefault="00A46A97" w:rsidP="00A94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4B3454">
        <w:rPr>
          <w:rFonts w:ascii="Times New Roman" w:hAnsi="Times New Roman" w:cs="Times New Roman"/>
          <w:sz w:val="28"/>
          <w:szCs w:val="28"/>
        </w:rPr>
        <w:t>СДЭ - степень достижения значения показателей ожидаемого эффекта от реализации меропр</w:t>
      </w:r>
      <w:r>
        <w:rPr>
          <w:rFonts w:ascii="Times New Roman" w:hAnsi="Times New Roman" w:cs="Times New Roman"/>
          <w:sz w:val="28"/>
          <w:szCs w:val="28"/>
        </w:rPr>
        <w:t xml:space="preserve">иятий государственной программы – составляет </w:t>
      </w:r>
      <w:r w:rsidRPr="004B3454">
        <w:rPr>
          <w:rFonts w:ascii="Times New Roman" w:hAnsi="Times New Roman" w:cs="Times New Roman"/>
          <w:b/>
          <w:bCs/>
          <w:sz w:val="28"/>
          <w:szCs w:val="28"/>
        </w:rPr>
        <w:t>100,2 %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A97" w:rsidRDefault="00A46A97" w:rsidP="00A94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6A97" w:rsidRPr="00F03D87" w:rsidRDefault="00A46A97" w:rsidP="00A94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D87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Ожидаемый эффект от реализации мероприятий государственной программы соответствует запланированным на 2017 год показателям: </w:t>
      </w:r>
    </w:p>
    <w:p w:rsidR="00A46A97" w:rsidRPr="00F03D87" w:rsidRDefault="00A46A97" w:rsidP="008B20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F03D87">
        <w:rPr>
          <w:rFonts w:ascii="Times New Roman" w:hAnsi="Times New Roman" w:cs="Times New Roman"/>
          <w:color w:val="auto"/>
          <w:sz w:val="28"/>
          <w:szCs w:val="28"/>
        </w:rPr>
        <w:t>1. на 100% обеспечены государственные гарантии реализации прав на получение общедоступного и бесплатного общего образования, среднего профессионального образования (план - 100%);</w:t>
      </w:r>
    </w:p>
    <w:p w:rsidR="00A46A97" w:rsidRPr="00A4257D" w:rsidRDefault="00A46A97" w:rsidP="008B2086">
      <w:pPr>
        <w:pStyle w:val="af"/>
        <w:ind w:firstLine="708"/>
        <w:rPr>
          <w:rFonts w:ascii="Times New Roman" w:hAnsi="Times New Roman" w:cs="Times New Roman"/>
          <w:sz w:val="28"/>
          <w:szCs w:val="28"/>
        </w:rPr>
      </w:pPr>
      <w:r w:rsidRPr="00A4257D">
        <w:rPr>
          <w:rFonts w:ascii="Times New Roman" w:hAnsi="Times New Roman" w:cs="Times New Roman"/>
          <w:sz w:val="28"/>
          <w:szCs w:val="28"/>
        </w:rPr>
        <w:t>2.  реализовано обеспечение доступности дошкольного образования для детей в возрасте от 3 до 7 лет (план 100%</w:t>
      </w:r>
      <w:r>
        <w:rPr>
          <w:rFonts w:ascii="Times New Roman" w:hAnsi="Times New Roman" w:cs="Times New Roman"/>
          <w:sz w:val="28"/>
          <w:szCs w:val="28"/>
        </w:rPr>
        <w:t>, факт - 100%</w:t>
      </w:r>
      <w:r w:rsidRPr="00A4257D">
        <w:rPr>
          <w:rFonts w:ascii="Times New Roman" w:hAnsi="Times New Roman" w:cs="Times New Roman"/>
          <w:sz w:val="28"/>
          <w:szCs w:val="28"/>
        </w:rPr>
        <w:t>);</w:t>
      </w:r>
    </w:p>
    <w:p w:rsidR="00A46A97" w:rsidRPr="00F03D87" w:rsidRDefault="00A46A97" w:rsidP="008B20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03D87">
        <w:rPr>
          <w:rFonts w:ascii="Times New Roman" w:hAnsi="Times New Roman" w:cs="Times New Roman"/>
          <w:sz w:val="28"/>
          <w:szCs w:val="28"/>
        </w:rPr>
        <w:t>3. соответствие условий предоставления дошкольного образования федеральным государственным образовательным стандартам (далее – ФГОС)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обеспечено на 100% (п</w:t>
      </w:r>
      <w:r w:rsidRPr="00F03D87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3D87">
        <w:rPr>
          <w:rFonts w:ascii="Times New Roman" w:hAnsi="Times New Roman" w:cs="Times New Roman"/>
          <w:sz w:val="28"/>
          <w:szCs w:val="28"/>
        </w:rPr>
        <w:t>100%)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A97" w:rsidRPr="003E4BC6" w:rsidRDefault="00A46A97" w:rsidP="008B20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соответствие условий реализации образовательных программ</w:t>
      </w:r>
      <w:r w:rsidRPr="003E4BC6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общего, среднего общего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требованиям </w:t>
      </w:r>
      <w:proofErr w:type="gramStart"/>
      <w:r w:rsidRPr="003E4BC6">
        <w:rPr>
          <w:rFonts w:ascii="Times New Roman" w:hAnsi="Times New Roman" w:cs="Times New Roman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sz w:val="28"/>
          <w:szCs w:val="28"/>
        </w:rPr>
        <w:t xml:space="preserve"> обеспечено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89,2% (п</w:t>
      </w:r>
      <w:r w:rsidRPr="003E4BC6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4BC6">
        <w:rPr>
          <w:rFonts w:ascii="Times New Roman" w:hAnsi="Times New Roman" w:cs="Times New Roman"/>
          <w:sz w:val="28"/>
          <w:szCs w:val="28"/>
        </w:rPr>
        <w:t>89,2%)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A97" w:rsidRPr="00A33894" w:rsidRDefault="00A46A97" w:rsidP="008B20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894">
        <w:rPr>
          <w:rFonts w:ascii="Times New Roman" w:hAnsi="Times New Roman" w:cs="Times New Roman"/>
          <w:sz w:val="28"/>
          <w:szCs w:val="28"/>
        </w:rPr>
        <w:t xml:space="preserve">5. всем детям-инвалидам предоставлена возможность освоения образовательных программ начального общего, основного общего, среднего общего образования с применением дистанционных образовательных технологий, а также получения </w:t>
      </w:r>
      <w:r>
        <w:rPr>
          <w:rFonts w:ascii="Times New Roman" w:hAnsi="Times New Roman" w:cs="Times New Roman"/>
          <w:sz w:val="28"/>
          <w:szCs w:val="28"/>
        </w:rPr>
        <w:t>инклюзивного образования (100%),</w:t>
      </w:r>
      <w:r w:rsidRPr="00A33894">
        <w:rPr>
          <w:rFonts w:ascii="Times New Roman" w:hAnsi="Times New Roman" w:cs="Times New Roman"/>
          <w:sz w:val="28"/>
          <w:szCs w:val="28"/>
        </w:rPr>
        <w:t xml:space="preserve"> (план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3894">
        <w:rPr>
          <w:rFonts w:ascii="Times New Roman" w:hAnsi="Times New Roman" w:cs="Times New Roman"/>
          <w:sz w:val="28"/>
          <w:szCs w:val="28"/>
        </w:rPr>
        <w:t>100%)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A97" w:rsidRPr="009F5DC3" w:rsidRDefault="00A46A97" w:rsidP="008B20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9F5DC3">
        <w:rPr>
          <w:rFonts w:ascii="Times New Roman" w:hAnsi="Times New Roman" w:cs="Times New Roman"/>
          <w:color w:val="auto"/>
          <w:sz w:val="28"/>
          <w:szCs w:val="28"/>
        </w:rPr>
        <w:t xml:space="preserve">6. в общеобразовательных организациях на 22,3 % создана </w:t>
      </w:r>
      <w:proofErr w:type="spellStart"/>
      <w:r w:rsidRPr="009F5DC3">
        <w:rPr>
          <w:rFonts w:ascii="Times New Roman" w:hAnsi="Times New Roman" w:cs="Times New Roman"/>
          <w:color w:val="auto"/>
          <w:sz w:val="28"/>
          <w:szCs w:val="28"/>
        </w:rPr>
        <w:t>безбарьерная</w:t>
      </w:r>
      <w:proofErr w:type="spellEnd"/>
      <w:r w:rsidRPr="009F5DC3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образовательная среда, необходимая для обеспечения полноценной интеграции детей-инвалидов, которым не противопоказано обучение (план - 22,3 %);</w:t>
      </w:r>
    </w:p>
    <w:p w:rsidR="00A46A97" w:rsidRPr="0087133D" w:rsidRDefault="00A46A97" w:rsidP="008B20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133D">
        <w:rPr>
          <w:rFonts w:ascii="Times New Roman" w:hAnsi="Times New Roman" w:cs="Times New Roman"/>
          <w:sz w:val="28"/>
          <w:szCs w:val="28"/>
        </w:rPr>
        <w:t xml:space="preserve">7. на 96,52 % созданы условия для обучения обучающихся </w:t>
      </w:r>
      <w:r w:rsidRPr="0087133D">
        <w:rPr>
          <w:rFonts w:ascii="Times New Roman" w:hAnsi="Times New Roman" w:cs="Times New Roman"/>
          <w:color w:val="auto"/>
          <w:sz w:val="28"/>
          <w:szCs w:val="28"/>
        </w:rPr>
        <w:t>общеобразовательных организаций в одну смену (план - 96,52%);</w:t>
      </w:r>
    </w:p>
    <w:p w:rsidR="00A46A97" w:rsidRPr="0087133D" w:rsidRDefault="00A46A97" w:rsidP="008B2086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3D">
        <w:rPr>
          <w:rFonts w:ascii="Times New Roman" w:hAnsi="Times New Roman" w:cs="Times New Roman"/>
          <w:sz w:val="28"/>
          <w:szCs w:val="28"/>
        </w:rPr>
        <w:t>8. условия для реализации педагогическими работниками права на получение дополнительного профессионального образования по профилю педагогической деятельности созданы на 100 % (план - 100%);</w:t>
      </w:r>
    </w:p>
    <w:p w:rsidR="00A46A97" w:rsidRPr="0087133D" w:rsidRDefault="00A46A97" w:rsidP="008B2086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3D">
        <w:rPr>
          <w:rFonts w:ascii="Times New Roman" w:hAnsi="Times New Roman" w:cs="Times New Roman"/>
          <w:sz w:val="28"/>
          <w:szCs w:val="28"/>
        </w:rPr>
        <w:t>9. выпускники очной формы обучения профессиональных образовательных организаций в течение одного года после окончания обучения обеспечены на 63 % трудоустройством по полученной профессии, специальности (план - 53,3%);</w:t>
      </w:r>
    </w:p>
    <w:p w:rsidR="00A46A97" w:rsidRPr="00BD5CBE" w:rsidRDefault="00A46A97" w:rsidP="008B2086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CBE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5CBE">
        <w:rPr>
          <w:rFonts w:ascii="Times New Roman" w:hAnsi="Times New Roman" w:cs="Times New Roman"/>
          <w:sz w:val="28"/>
          <w:szCs w:val="28"/>
        </w:rPr>
        <w:t>редоставление иногородним студентам возможности проживания в общежитиях</w:t>
      </w:r>
      <w:r>
        <w:rPr>
          <w:rFonts w:ascii="Times New Roman" w:hAnsi="Times New Roman" w:cs="Times New Roman"/>
          <w:sz w:val="28"/>
          <w:szCs w:val="28"/>
        </w:rPr>
        <w:t xml:space="preserve"> реализовано на 95 </w:t>
      </w:r>
      <w:proofErr w:type="gramStart"/>
      <w:r>
        <w:rPr>
          <w:rFonts w:ascii="Times New Roman" w:hAnsi="Times New Roman" w:cs="Times New Roman"/>
          <w:sz w:val="28"/>
          <w:szCs w:val="28"/>
        </w:rPr>
        <w:t>%  (</w:t>
      </w:r>
      <w:proofErr w:type="gramEnd"/>
      <w:r>
        <w:rPr>
          <w:rFonts w:ascii="Times New Roman" w:hAnsi="Times New Roman" w:cs="Times New Roman"/>
          <w:sz w:val="28"/>
          <w:szCs w:val="28"/>
        </w:rPr>
        <w:t>план -</w:t>
      </w:r>
      <w:r w:rsidRPr="00BD5CBE">
        <w:rPr>
          <w:rFonts w:ascii="Times New Roman" w:hAnsi="Times New Roman" w:cs="Times New Roman"/>
          <w:sz w:val="28"/>
          <w:szCs w:val="28"/>
        </w:rPr>
        <w:t xml:space="preserve"> 95%)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A97" w:rsidRPr="00BD5CBE" w:rsidRDefault="00A46A97" w:rsidP="008B2086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CBE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>
        <w:rPr>
          <w:rFonts w:ascii="Times New Roman" w:hAnsi="Times New Roman" w:cs="Times New Roman"/>
          <w:sz w:val="28"/>
          <w:szCs w:val="28"/>
        </w:rPr>
        <w:t>реализовано в</w:t>
      </w:r>
      <w:r w:rsidRPr="00BD5CBE">
        <w:rPr>
          <w:rFonts w:ascii="Times New Roman" w:hAnsi="Times New Roman" w:cs="Times New Roman"/>
          <w:sz w:val="28"/>
          <w:szCs w:val="28"/>
        </w:rPr>
        <w:t xml:space="preserve">недрение дуальной формы обучения в профессиональных образовательных </w:t>
      </w:r>
      <w:proofErr w:type="gramStart"/>
      <w:r w:rsidRPr="00BD5CBE">
        <w:rPr>
          <w:rFonts w:ascii="Times New Roman" w:hAnsi="Times New Roman" w:cs="Times New Roman"/>
          <w:sz w:val="28"/>
          <w:szCs w:val="28"/>
        </w:rPr>
        <w:t>организа</w:t>
      </w:r>
      <w:r>
        <w:rPr>
          <w:rFonts w:ascii="Times New Roman" w:hAnsi="Times New Roman" w:cs="Times New Roman"/>
          <w:sz w:val="28"/>
          <w:szCs w:val="28"/>
        </w:rPr>
        <w:t>циях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план - </w:t>
      </w:r>
      <w:r w:rsidRPr="00BD5CBE">
        <w:rPr>
          <w:rFonts w:ascii="Times New Roman" w:hAnsi="Times New Roman" w:cs="Times New Roman"/>
          <w:sz w:val="28"/>
          <w:szCs w:val="28"/>
        </w:rPr>
        <w:t>4%</w:t>
      </w:r>
      <w:r>
        <w:rPr>
          <w:rFonts w:ascii="Times New Roman" w:hAnsi="Times New Roman" w:cs="Times New Roman"/>
          <w:sz w:val="28"/>
          <w:szCs w:val="28"/>
        </w:rPr>
        <w:t>, факт - 4%</w:t>
      </w:r>
      <w:r w:rsidRPr="00BD5C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A97" w:rsidRPr="0087133D" w:rsidRDefault="00A46A97" w:rsidP="008B20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3D">
        <w:rPr>
          <w:rFonts w:ascii="Times New Roman" w:hAnsi="Times New Roman" w:cs="Times New Roman"/>
          <w:sz w:val="28"/>
          <w:szCs w:val="28"/>
        </w:rPr>
        <w:t>12. на 17% увеличилась доля профессиональных образовательных организаций, в которых созданы специальные условия для обучения лиц с ограниченными возможностями здоровья (план - 20%);</w:t>
      </w:r>
    </w:p>
    <w:p w:rsidR="00A46A97" w:rsidRPr="0087133D" w:rsidRDefault="00A46A97" w:rsidP="008B20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3D">
        <w:rPr>
          <w:rFonts w:ascii="Times New Roman" w:hAnsi="Times New Roman" w:cs="Times New Roman"/>
          <w:sz w:val="28"/>
          <w:szCs w:val="28"/>
        </w:rPr>
        <w:t>13. создание условий для получения детьми в возрасте от 5 до 18 лет дополнительного образования обеспечено на 82,1 % (план - 75%);</w:t>
      </w:r>
    </w:p>
    <w:p w:rsidR="00A46A97" w:rsidRPr="0087133D" w:rsidRDefault="00A46A97" w:rsidP="008B20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3D">
        <w:rPr>
          <w:rFonts w:ascii="Times New Roman" w:hAnsi="Times New Roman" w:cs="Times New Roman"/>
          <w:sz w:val="28"/>
          <w:szCs w:val="28"/>
        </w:rPr>
        <w:t>14. создание условий для получения детьми-инвалидами в возрасте от 5 до 18 лет дополнительного образования обеспечено на 48,4% (план - 25%);</w:t>
      </w:r>
    </w:p>
    <w:p w:rsidR="00A46A97" w:rsidRPr="00F26BC6" w:rsidRDefault="00A46A97" w:rsidP="008B20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133D">
        <w:rPr>
          <w:rFonts w:ascii="Times New Roman" w:hAnsi="Times New Roman" w:cs="Times New Roman"/>
          <w:sz w:val="28"/>
          <w:szCs w:val="28"/>
        </w:rPr>
        <w:t xml:space="preserve">15. на 15% увеличилась доля молодых людей в возрасте от 14 до 30 лет, </w:t>
      </w:r>
      <w:r w:rsidRPr="00F26BC6">
        <w:rPr>
          <w:rFonts w:ascii="Times New Roman" w:hAnsi="Times New Roman" w:cs="Times New Roman"/>
          <w:color w:val="auto"/>
          <w:sz w:val="28"/>
          <w:szCs w:val="28"/>
        </w:rPr>
        <w:t>участвующих в деятельности молодёжных общественных объединений (план - 15%);</w:t>
      </w:r>
    </w:p>
    <w:p w:rsidR="00A46A97" w:rsidRPr="00CB205A" w:rsidRDefault="00A46A97" w:rsidP="008B208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A">
        <w:rPr>
          <w:rFonts w:ascii="Times New Roman" w:hAnsi="Times New Roman" w:cs="Times New Roman"/>
          <w:sz w:val="28"/>
          <w:szCs w:val="28"/>
        </w:rPr>
        <w:t>16. увеличение доли участников культурно-образовательных мероприятий в области филологии в общей численности населения Ульяновской области</w:t>
      </w:r>
      <w:proofErr w:type="gramStart"/>
      <w:r w:rsidRPr="00CB205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CB205A">
        <w:rPr>
          <w:rFonts w:ascii="Times New Roman" w:hAnsi="Times New Roman" w:cs="Times New Roman"/>
          <w:sz w:val="28"/>
          <w:szCs w:val="28"/>
        </w:rPr>
        <w:t>план - 0,25%)</w:t>
      </w:r>
      <w:r w:rsidR="00271E77" w:rsidRPr="00CB205A">
        <w:rPr>
          <w:rFonts w:ascii="Times New Roman" w:hAnsi="Times New Roman" w:cs="Times New Roman"/>
          <w:sz w:val="28"/>
          <w:szCs w:val="28"/>
        </w:rPr>
        <w:t xml:space="preserve"> факт 0,25</w:t>
      </w:r>
      <w:r w:rsidRPr="00CB205A">
        <w:rPr>
          <w:rFonts w:ascii="Times New Roman" w:hAnsi="Times New Roman" w:cs="Times New Roman"/>
          <w:sz w:val="28"/>
          <w:szCs w:val="28"/>
        </w:rPr>
        <w:t>;</w:t>
      </w:r>
    </w:p>
    <w:p w:rsidR="00A46A97" w:rsidRPr="00CB205A" w:rsidRDefault="00A46A97" w:rsidP="008B20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A">
        <w:rPr>
          <w:rFonts w:ascii="Times New Roman" w:hAnsi="Times New Roman" w:cs="Times New Roman"/>
          <w:sz w:val="28"/>
          <w:szCs w:val="28"/>
        </w:rPr>
        <w:t>17. 83% обучающихся общеобразовательных организаций в течение лета были обеспечены отдыхом и оздоровлением (план - 83%);</w:t>
      </w:r>
    </w:p>
    <w:p w:rsidR="00A46A97" w:rsidRPr="00CB205A" w:rsidRDefault="00A46A97" w:rsidP="008B20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A">
        <w:rPr>
          <w:rFonts w:ascii="Times New Roman" w:hAnsi="Times New Roman" w:cs="Times New Roman"/>
          <w:sz w:val="28"/>
          <w:szCs w:val="28"/>
        </w:rPr>
        <w:t>18. 3% работников бюджетной сферы воспользовались правом на оздоровление (план - 3%);</w:t>
      </w:r>
    </w:p>
    <w:p w:rsidR="00A46A97" w:rsidRPr="00CB205A" w:rsidRDefault="00A46A97" w:rsidP="008B20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205A">
        <w:rPr>
          <w:rFonts w:ascii="Times New Roman" w:hAnsi="Times New Roman" w:cs="Times New Roman"/>
          <w:color w:val="auto"/>
          <w:sz w:val="28"/>
          <w:szCs w:val="28"/>
        </w:rPr>
        <w:t>19. обеспечено создание условий для подготовки специалистов в области оценки качества общего образования и оценочных материалов (план - 150 ед., факт - 150 ед.);</w:t>
      </w:r>
    </w:p>
    <w:p w:rsidR="00A46A97" w:rsidRPr="00CB205A" w:rsidRDefault="00A46A97" w:rsidP="008B208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A">
        <w:rPr>
          <w:rFonts w:ascii="Times New Roman" w:hAnsi="Times New Roman" w:cs="Times New Roman"/>
          <w:sz w:val="28"/>
          <w:szCs w:val="28"/>
        </w:rPr>
        <w:t>20. обеспечено функционирование системы мониторинга оценки образовательных результатов на федеральном, региональном и муниципальном уровнях (план - 100%)</w:t>
      </w:r>
      <w:r w:rsidR="00271E77" w:rsidRPr="00CB205A">
        <w:rPr>
          <w:rFonts w:ascii="Times New Roman" w:hAnsi="Times New Roman" w:cs="Times New Roman"/>
          <w:sz w:val="28"/>
          <w:szCs w:val="28"/>
        </w:rPr>
        <w:t xml:space="preserve"> факт 100%</w:t>
      </w:r>
      <w:r w:rsidRPr="00CB205A">
        <w:rPr>
          <w:rFonts w:ascii="Times New Roman" w:hAnsi="Times New Roman" w:cs="Times New Roman"/>
          <w:sz w:val="28"/>
          <w:szCs w:val="28"/>
        </w:rPr>
        <w:t>;</w:t>
      </w:r>
    </w:p>
    <w:p w:rsidR="00A46A97" w:rsidRPr="00926D24" w:rsidRDefault="00A46A97" w:rsidP="008B208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A">
        <w:rPr>
          <w:rFonts w:ascii="Times New Roman" w:hAnsi="Times New Roman" w:cs="Times New Roman"/>
          <w:sz w:val="28"/>
          <w:szCs w:val="28"/>
        </w:rPr>
        <w:t>21. обеспечено выполнение</w:t>
      </w:r>
      <w:r w:rsidRPr="00926D24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организациями, находящимися в ведении Министерства образования и науки Ульяновской области, утверждённых им государственных заданий (план - 100%);</w:t>
      </w:r>
    </w:p>
    <w:p w:rsidR="00A46A97" w:rsidRPr="00926D24" w:rsidRDefault="00A46A97" w:rsidP="008B20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22</w:t>
      </w:r>
      <w:r w:rsidRPr="00926D24">
        <w:rPr>
          <w:rFonts w:ascii="Times New Roman" w:hAnsi="Times New Roman" w:cs="Times New Roman"/>
          <w:color w:val="auto"/>
          <w:sz w:val="28"/>
          <w:szCs w:val="28"/>
        </w:rPr>
        <w:t>. плановые значения основных целевых индикаторов государственной программы достигнуты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(101,4%),</w:t>
      </w:r>
      <w:r w:rsidRPr="00926D2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 - </w:t>
      </w:r>
      <w:r w:rsidRPr="00926D24">
        <w:rPr>
          <w:rFonts w:ascii="Times New Roman" w:hAnsi="Times New Roman" w:cs="Times New Roman"/>
          <w:color w:val="auto"/>
          <w:sz w:val="28"/>
          <w:szCs w:val="28"/>
        </w:rPr>
        <w:t>100%).</w:t>
      </w:r>
    </w:p>
    <w:p w:rsidR="00A46A97" w:rsidRPr="00A94B62" w:rsidRDefault="00A46A97" w:rsidP="009E69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8B2086" w:rsidRDefault="008B2086" w:rsidP="004B34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2086" w:rsidRDefault="008B2086" w:rsidP="004B34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2086" w:rsidRDefault="008B2086" w:rsidP="004B34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2086" w:rsidRDefault="008B2086" w:rsidP="004B34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2086" w:rsidRDefault="008B2086" w:rsidP="004B34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2086" w:rsidRDefault="008B2086" w:rsidP="004B34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6A97" w:rsidRPr="004B3454" w:rsidRDefault="00A46A97" w:rsidP="004B34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454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4B3454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Степень соответствия результатов реализации основных мероприятий, предусмотренных государственной программой, значениям целевых индикаторов государственной программы</w:t>
      </w:r>
      <w:r w:rsidRPr="004B34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B3454">
        <w:rPr>
          <w:rFonts w:ascii="Times New Roman" w:hAnsi="Times New Roman" w:cs="Times New Roman"/>
          <w:sz w:val="28"/>
          <w:szCs w:val="28"/>
        </w:rPr>
        <w:t>осуществляется по следующей формуле:</w:t>
      </w:r>
    </w:p>
    <w:p w:rsidR="00A46A97" w:rsidRPr="009A31B9" w:rsidRDefault="00A46A97" w:rsidP="009E69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A46A97" w:rsidRPr="009A31B9" w:rsidRDefault="00E30BE0" w:rsidP="009E69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0" cy="1343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6A97" w:rsidRPr="009A31B9">
        <w:rPr>
          <w:rFonts w:ascii="Times New Roman" w:hAnsi="Times New Roman" w:cs="Times New Roman"/>
          <w:sz w:val="28"/>
          <w:szCs w:val="28"/>
        </w:rPr>
        <w:t>, где</w:t>
      </w:r>
    </w:p>
    <w:p w:rsidR="00A46A97" w:rsidRPr="009A31B9" w:rsidRDefault="00A46A97" w:rsidP="004B34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A97" w:rsidRPr="009A31B9" w:rsidRDefault="00A46A97" w:rsidP="004B34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1B9">
        <w:rPr>
          <w:rFonts w:ascii="Times New Roman" w:hAnsi="Times New Roman" w:cs="Times New Roman"/>
          <w:sz w:val="28"/>
          <w:szCs w:val="28"/>
        </w:rPr>
        <w:t xml:space="preserve">СОМ - степень соответствия результатов реализации основных мероприятий, предусмотренных государственной программой, значениям целевых индикаторов государственной программы – 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A31B9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0 %</w:t>
      </w:r>
      <w:r w:rsidRPr="009A31B9">
        <w:rPr>
          <w:rFonts w:ascii="Times New Roman" w:hAnsi="Times New Roman" w:cs="Times New Roman"/>
          <w:sz w:val="28"/>
          <w:szCs w:val="28"/>
        </w:rPr>
        <w:t>;</w:t>
      </w:r>
    </w:p>
    <w:p w:rsidR="00A46A97" w:rsidRDefault="00A46A97" w:rsidP="004B34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1B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A31B9">
        <w:rPr>
          <w:rFonts w:ascii="Times New Roman" w:hAnsi="Times New Roman" w:cs="Times New Roman"/>
          <w:sz w:val="28"/>
          <w:szCs w:val="28"/>
          <w:vertAlign w:val="subscript"/>
        </w:rPr>
        <w:t>ому</w:t>
      </w:r>
      <w:r w:rsidRPr="009A31B9">
        <w:rPr>
          <w:rFonts w:ascii="Times New Roman" w:hAnsi="Times New Roman" w:cs="Times New Roman"/>
          <w:sz w:val="28"/>
          <w:szCs w:val="28"/>
        </w:rPr>
        <w:t xml:space="preserve"> - количество основных мероприятий, предусмотренных государственной программой, для которых установлены конкретные значения целевых индикаторов</w:t>
      </w:r>
      <w:r>
        <w:rPr>
          <w:rFonts w:ascii="Times New Roman" w:hAnsi="Times New Roman" w:cs="Times New Roman"/>
          <w:sz w:val="28"/>
          <w:szCs w:val="28"/>
        </w:rPr>
        <w:t xml:space="preserve"> – 8 мероприятий</w:t>
      </w:r>
      <w:r w:rsidRPr="009A31B9">
        <w:rPr>
          <w:rFonts w:ascii="Times New Roman" w:hAnsi="Times New Roman" w:cs="Times New Roman"/>
          <w:sz w:val="28"/>
          <w:szCs w:val="28"/>
        </w:rPr>
        <w:t>;</w:t>
      </w:r>
    </w:p>
    <w:p w:rsidR="00A46A97" w:rsidRPr="009A31B9" w:rsidRDefault="00A46A97" w:rsidP="004B34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ОМУ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9A31B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A31B9">
        <w:rPr>
          <w:rFonts w:ascii="Times New Roman" w:hAnsi="Times New Roman" w:cs="Times New Roman"/>
          <w:sz w:val="28"/>
          <w:szCs w:val="28"/>
        </w:rPr>
        <w:t>- основные мероприятия государственной программы, для которых установлены конкретные значения целевых индикаторов;</w:t>
      </w:r>
    </w:p>
    <w:p w:rsidR="00A46A97" w:rsidRPr="009A31B9" w:rsidRDefault="00A46A97" w:rsidP="004B34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1B9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ом </w:t>
      </w:r>
      <w:r w:rsidRPr="009A31B9">
        <w:rPr>
          <w:rFonts w:ascii="Times New Roman" w:hAnsi="Times New Roman" w:cs="Times New Roman"/>
          <w:sz w:val="28"/>
          <w:szCs w:val="28"/>
        </w:rPr>
        <w:t>- количество основных мероприятий, предусмотренных государственной программой, для которых не установлены конкретные значения целевых индикаторов</w:t>
      </w:r>
      <w:r>
        <w:rPr>
          <w:rFonts w:ascii="Times New Roman" w:hAnsi="Times New Roman" w:cs="Times New Roman"/>
          <w:sz w:val="28"/>
          <w:szCs w:val="28"/>
        </w:rPr>
        <w:t xml:space="preserve"> – 5 мероприятий</w:t>
      </w:r>
      <w:r w:rsidRPr="009A31B9">
        <w:rPr>
          <w:rFonts w:ascii="Times New Roman" w:hAnsi="Times New Roman" w:cs="Times New Roman"/>
          <w:sz w:val="28"/>
          <w:szCs w:val="28"/>
        </w:rPr>
        <w:t>;</w:t>
      </w:r>
    </w:p>
    <w:p w:rsidR="00A46A97" w:rsidRPr="009A31B9" w:rsidRDefault="00A46A97" w:rsidP="009A31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9A31B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A31B9">
        <w:rPr>
          <w:rFonts w:ascii="Times New Roman" w:hAnsi="Times New Roman" w:cs="Times New Roman"/>
          <w:sz w:val="28"/>
          <w:szCs w:val="28"/>
        </w:rPr>
        <w:t>- основные мероприятия, предусмотренные государственной программой, для которых не установлены конкретные значения целевых индикаторов.</w:t>
      </w:r>
    </w:p>
    <w:p w:rsidR="00A46A97" w:rsidRPr="009A31B9" w:rsidRDefault="00A46A97" w:rsidP="003859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A46A97" w:rsidRPr="009A31B9" w:rsidRDefault="00A46A97" w:rsidP="00273B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10"/>
      <w:r w:rsidRPr="009A31B9">
        <w:rPr>
          <w:rFonts w:ascii="Times New Roman" w:hAnsi="Times New Roman" w:cs="Times New Roman"/>
          <w:sz w:val="28"/>
          <w:szCs w:val="28"/>
        </w:rPr>
        <w:t xml:space="preserve">5. </w:t>
      </w:r>
      <w:r w:rsidRPr="00273BBC">
        <w:rPr>
          <w:rFonts w:ascii="Times New Roman" w:hAnsi="Times New Roman" w:cs="Times New Roman"/>
          <w:b/>
          <w:bCs/>
          <w:sz w:val="28"/>
          <w:szCs w:val="28"/>
        </w:rPr>
        <w:t>Интегральная оценка эффективности реализации государственной программы</w:t>
      </w:r>
      <w:r w:rsidRPr="009A31B9">
        <w:rPr>
          <w:rFonts w:ascii="Times New Roman" w:hAnsi="Times New Roman" w:cs="Times New Roman"/>
          <w:sz w:val="28"/>
          <w:szCs w:val="28"/>
        </w:rPr>
        <w:t xml:space="preserve"> осуществляется по следующей формуле:</w:t>
      </w:r>
    </w:p>
    <w:bookmarkEnd w:id="3"/>
    <w:p w:rsidR="00A46A97" w:rsidRPr="009A31B9" w:rsidRDefault="00A46A97" w:rsidP="009E69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A46A97" w:rsidRPr="009A31B9" w:rsidRDefault="00E30BE0" w:rsidP="009E69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52825" cy="5429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6A97" w:rsidRPr="009A31B9">
        <w:rPr>
          <w:rFonts w:ascii="Times New Roman" w:hAnsi="Times New Roman" w:cs="Times New Roman"/>
          <w:sz w:val="28"/>
          <w:szCs w:val="28"/>
        </w:rPr>
        <w:t>, где</w:t>
      </w:r>
    </w:p>
    <w:p w:rsidR="00A46A97" w:rsidRPr="009A31B9" w:rsidRDefault="00A46A97" w:rsidP="009E69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194870" w:rsidRPr="00194870" w:rsidRDefault="00A46A97" w:rsidP="00194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31B9">
        <w:rPr>
          <w:rFonts w:ascii="Times New Roman" w:hAnsi="Times New Roman" w:cs="Times New Roman"/>
          <w:sz w:val="28"/>
          <w:szCs w:val="28"/>
        </w:rPr>
        <w:t>И - значение интегральной оценки эффективности реали</w:t>
      </w:r>
      <w:r>
        <w:rPr>
          <w:rFonts w:ascii="Times New Roman" w:hAnsi="Times New Roman" w:cs="Times New Roman"/>
          <w:sz w:val="28"/>
          <w:szCs w:val="28"/>
        </w:rPr>
        <w:t xml:space="preserve">зации государственной программы - составляет </w:t>
      </w:r>
      <w:r w:rsidRPr="00A94B62">
        <w:rPr>
          <w:rFonts w:ascii="Times New Roman" w:hAnsi="Times New Roman" w:cs="Times New Roman"/>
          <w:b/>
          <w:bCs/>
          <w:sz w:val="28"/>
          <w:szCs w:val="28"/>
        </w:rPr>
        <w:t>117,1 %</w:t>
      </w:r>
      <w:r w:rsidR="00194870">
        <w:rPr>
          <w:rFonts w:ascii="Times New Roman" w:hAnsi="Times New Roman" w:cs="Times New Roman"/>
          <w:sz w:val="28"/>
          <w:szCs w:val="28"/>
        </w:rPr>
        <w:t>.</w:t>
      </w:r>
      <w:r w:rsidR="00194870">
        <w:rPr>
          <w:rFonts w:ascii="Arial" w:hAnsi="Arial" w:cs="Arial"/>
          <w:color w:val="auto"/>
          <w:sz w:val="24"/>
          <w:szCs w:val="24"/>
        </w:rPr>
        <w:t xml:space="preserve"> </w:t>
      </w:r>
      <w:r w:rsidR="00194870" w:rsidRPr="00194870">
        <w:rPr>
          <w:rFonts w:ascii="Times New Roman" w:hAnsi="Times New Roman" w:cs="Times New Roman"/>
          <w:color w:val="auto"/>
          <w:sz w:val="28"/>
          <w:szCs w:val="28"/>
        </w:rPr>
        <w:t>Реализация государственной программы является эффективной</w:t>
      </w:r>
    </w:p>
    <w:p w:rsidR="00A46A97" w:rsidRPr="00194870" w:rsidRDefault="00A46A97" w:rsidP="00705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6A97" w:rsidRPr="0038597C" w:rsidRDefault="00A46A97" w:rsidP="00705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46A97" w:rsidRPr="0038597C" w:rsidSect="008B2086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134" w:right="843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F8F" w:rsidRDefault="00A42F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A42F8F" w:rsidRDefault="00A42F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E7D" w:rsidRDefault="00BA3E7D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E7D" w:rsidRDefault="00BA3E7D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F8F" w:rsidRDefault="00A42F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A42F8F" w:rsidRDefault="00A42F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E7D" w:rsidRDefault="00BA3E7D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8B2086">
      <w:rPr>
        <w:rFonts w:ascii="Times New Roman" w:hAnsi="Times New Roman" w:cs="Times New Roman"/>
        <w:noProof/>
        <w:sz w:val="28"/>
        <w:szCs w:val="28"/>
      </w:rPr>
      <w:t>35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E7D" w:rsidRDefault="00BA3E7D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5FB"/>
    <w:multiLevelType w:val="hybridMultilevel"/>
    <w:tmpl w:val="82C8A912"/>
    <w:lvl w:ilvl="0" w:tplc="8FB20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46818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23AA7EA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C7D612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FAA32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C77A0A6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AF29B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F84A5B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4CC5AE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 w15:restartNumberingAfterBreak="0">
    <w:nsid w:val="3B670E5A"/>
    <w:multiLevelType w:val="hybridMultilevel"/>
    <w:tmpl w:val="6478EE66"/>
    <w:styleLink w:val="3"/>
    <w:lvl w:ilvl="0" w:tplc="5BDEA784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0B7C0BD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026C43BE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2E1E97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89E22E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760AD6B0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C15EB5D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F3B88E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952646F8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54DD62CB"/>
    <w:multiLevelType w:val="hybridMultilevel"/>
    <w:tmpl w:val="AE4C2D90"/>
    <w:lvl w:ilvl="0" w:tplc="5D286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612D5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816AA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6EAA2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E4A1C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E14281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6BAF0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0741CB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A72E02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 w15:restartNumberingAfterBreak="0">
    <w:nsid w:val="75DC5BE3"/>
    <w:multiLevelType w:val="hybridMultilevel"/>
    <w:tmpl w:val="6478EE66"/>
    <w:numStyleLink w:val="3"/>
  </w:abstractNum>
  <w:num w:numId="1">
    <w:abstractNumId w:val="1"/>
  </w:num>
  <w:num w:numId="2">
    <w:abstractNumId w:val="3"/>
  </w:num>
  <w:num w:numId="3">
    <w:abstractNumId w:val="3"/>
    <w:lvlOverride w:ilvl="0">
      <w:lvl w:ilvl="0" w:tplc="988A5476">
        <w:start w:val="1"/>
        <w:numFmt w:val="decimal"/>
        <w:lvlText w:val="%1."/>
        <w:lvlJc w:val="left"/>
        <w:pPr>
          <w:ind w:left="10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86A60DD0">
        <w:start w:val="1"/>
        <w:numFmt w:val="lowerLetter"/>
        <w:lvlText w:val="%2."/>
        <w:lvlJc w:val="left"/>
        <w:pPr>
          <w:ind w:left="143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43580974">
        <w:start w:val="1"/>
        <w:numFmt w:val="lowerRoman"/>
        <w:lvlText w:val="%3."/>
        <w:lvlJc w:val="left"/>
        <w:pPr>
          <w:ind w:left="215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2AE02146">
        <w:start w:val="1"/>
        <w:numFmt w:val="decimal"/>
        <w:lvlText w:val="%4."/>
        <w:lvlJc w:val="left"/>
        <w:pPr>
          <w:ind w:left="28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FC3E9504">
        <w:start w:val="1"/>
        <w:numFmt w:val="lowerLetter"/>
        <w:lvlText w:val="%5."/>
        <w:lvlJc w:val="left"/>
        <w:pPr>
          <w:ind w:left="359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2DDA7848">
        <w:start w:val="1"/>
        <w:numFmt w:val="lowerRoman"/>
        <w:lvlText w:val="%6."/>
        <w:lvlJc w:val="left"/>
        <w:pPr>
          <w:ind w:left="431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C3264352">
        <w:start w:val="1"/>
        <w:numFmt w:val="decimal"/>
        <w:lvlText w:val="%7."/>
        <w:lvlJc w:val="left"/>
        <w:pPr>
          <w:ind w:left="503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30A21906">
        <w:start w:val="1"/>
        <w:numFmt w:val="lowerLetter"/>
        <w:lvlText w:val="%8."/>
        <w:lvlJc w:val="left"/>
        <w:pPr>
          <w:ind w:left="57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39F84B1C">
        <w:start w:val="1"/>
        <w:numFmt w:val="lowerRoman"/>
        <w:lvlText w:val="%9."/>
        <w:lvlJc w:val="left"/>
        <w:pPr>
          <w:ind w:left="647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B1"/>
    <w:rsid w:val="000113D1"/>
    <w:rsid w:val="00012D56"/>
    <w:rsid w:val="00024634"/>
    <w:rsid w:val="00036CAB"/>
    <w:rsid w:val="00041B7A"/>
    <w:rsid w:val="00053343"/>
    <w:rsid w:val="000542BB"/>
    <w:rsid w:val="00056C68"/>
    <w:rsid w:val="00060FE4"/>
    <w:rsid w:val="00067C29"/>
    <w:rsid w:val="00072F14"/>
    <w:rsid w:val="000745D8"/>
    <w:rsid w:val="00090CDA"/>
    <w:rsid w:val="00092EFB"/>
    <w:rsid w:val="000C0D49"/>
    <w:rsid w:val="000C59EC"/>
    <w:rsid w:val="000D1D30"/>
    <w:rsid w:val="000E4529"/>
    <w:rsid w:val="000F540A"/>
    <w:rsid w:val="00102217"/>
    <w:rsid w:val="00113E22"/>
    <w:rsid w:val="00124A9A"/>
    <w:rsid w:val="0012705D"/>
    <w:rsid w:val="00134037"/>
    <w:rsid w:val="00136AF1"/>
    <w:rsid w:val="00137395"/>
    <w:rsid w:val="001411E7"/>
    <w:rsid w:val="00160532"/>
    <w:rsid w:val="001653CD"/>
    <w:rsid w:val="001679C2"/>
    <w:rsid w:val="00170E35"/>
    <w:rsid w:val="00174EE1"/>
    <w:rsid w:val="00190DC8"/>
    <w:rsid w:val="00194870"/>
    <w:rsid w:val="001A133D"/>
    <w:rsid w:val="001A76A0"/>
    <w:rsid w:val="001B06BD"/>
    <w:rsid w:val="001B39CC"/>
    <w:rsid w:val="001B41E0"/>
    <w:rsid w:val="001B4EC6"/>
    <w:rsid w:val="001B56A8"/>
    <w:rsid w:val="001C0D5A"/>
    <w:rsid w:val="001C47DA"/>
    <w:rsid w:val="001C6D23"/>
    <w:rsid w:val="001D6444"/>
    <w:rsid w:val="001D7219"/>
    <w:rsid w:val="00217C02"/>
    <w:rsid w:val="00220A59"/>
    <w:rsid w:val="00225C54"/>
    <w:rsid w:val="00226B1E"/>
    <w:rsid w:val="00226BFC"/>
    <w:rsid w:val="00235A21"/>
    <w:rsid w:val="0024057C"/>
    <w:rsid w:val="00240DA1"/>
    <w:rsid w:val="002419E1"/>
    <w:rsid w:val="0024391F"/>
    <w:rsid w:val="002569E2"/>
    <w:rsid w:val="00271E77"/>
    <w:rsid w:val="00273BBC"/>
    <w:rsid w:val="002755B5"/>
    <w:rsid w:val="00275876"/>
    <w:rsid w:val="0028599F"/>
    <w:rsid w:val="00285F70"/>
    <w:rsid w:val="00293773"/>
    <w:rsid w:val="002B23D7"/>
    <w:rsid w:val="002C0860"/>
    <w:rsid w:val="002C2B7F"/>
    <w:rsid w:val="002C34DA"/>
    <w:rsid w:val="002C73C6"/>
    <w:rsid w:val="002C7598"/>
    <w:rsid w:val="002D0707"/>
    <w:rsid w:val="002E3792"/>
    <w:rsid w:val="002F7EB5"/>
    <w:rsid w:val="003047AE"/>
    <w:rsid w:val="0030657D"/>
    <w:rsid w:val="00306DB1"/>
    <w:rsid w:val="00310304"/>
    <w:rsid w:val="00310C36"/>
    <w:rsid w:val="003125CC"/>
    <w:rsid w:val="00314BE4"/>
    <w:rsid w:val="00332641"/>
    <w:rsid w:val="00334E1A"/>
    <w:rsid w:val="003379BB"/>
    <w:rsid w:val="0034659B"/>
    <w:rsid w:val="003527B2"/>
    <w:rsid w:val="003564F3"/>
    <w:rsid w:val="00357BAC"/>
    <w:rsid w:val="00360BD6"/>
    <w:rsid w:val="00366532"/>
    <w:rsid w:val="00370C2C"/>
    <w:rsid w:val="003746C9"/>
    <w:rsid w:val="00383F50"/>
    <w:rsid w:val="0038597C"/>
    <w:rsid w:val="003953F5"/>
    <w:rsid w:val="003A5974"/>
    <w:rsid w:val="003B64F3"/>
    <w:rsid w:val="003D0C0A"/>
    <w:rsid w:val="003D5D31"/>
    <w:rsid w:val="003D6A0B"/>
    <w:rsid w:val="003E1CB0"/>
    <w:rsid w:val="003E4BC6"/>
    <w:rsid w:val="003E6670"/>
    <w:rsid w:val="003E7E82"/>
    <w:rsid w:val="003F2187"/>
    <w:rsid w:val="003F595D"/>
    <w:rsid w:val="003F6968"/>
    <w:rsid w:val="00403675"/>
    <w:rsid w:val="00406027"/>
    <w:rsid w:val="00406F02"/>
    <w:rsid w:val="00457610"/>
    <w:rsid w:val="00461AAF"/>
    <w:rsid w:val="0046787E"/>
    <w:rsid w:val="0047090F"/>
    <w:rsid w:val="00485E41"/>
    <w:rsid w:val="004879BA"/>
    <w:rsid w:val="0049764E"/>
    <w:rsid w:val="004A0BE7"/>
    <w:rsid w:val="004B3454"/>
    <w:rsid w:val="004B7E4C"/>
    <w:rsid w:val="004D52B1"/>
    <w:rsid w:val="004D69F5"/>
    <w:rsid w:val="004E323E"/>
    <w:rsid w:val="004E34F6"/>
    <w:rsid w:val="004E3DD8"/>
    <w:rsid w:val="004E459F"/>
    <w:rsid w:val="004E4B06"/>
    <w:rsid w:val="00501EB0"/>
    <w:rsid w:val="005157D0"/>
    <w:rsid w:val="00524570"/>
    <w:rsid w:val="00525F7D"/>
    <w:rsid w:val="0052659E"/>
    <w:rsid w:val="005339A5"/>
    <w:rsid w:val="005412E0"/>
    <w:rsid w:val="00557DC6"/>
    <w:rsid w:val="005642DB"/>
    <w:rsid w:val="00573C55"/>
    <w:rsid w:val="00574C1C"/>
    <w:rsid w:val="005750FC"/>
    <w:rsid w:val="00577E5F"/>
    <w:rsid w:val="00582FA5"/>
    <w:rsid w:val="00584BE6"/>
    <w:rsid w:val="00590F9F"/>
    <w:rsid w:val="0059190F"/>
    <w:rsid w:val="0059407A"/>
    <w:rsid w:val="005A0993"/>
    <w:rsid w:val="005A5C3C"/>
    <w:rsid w:val="005A75A5"/>
    <w:rsid w:val="005B02E4"/>
    <w:rsid w:val="005D2C02"/>
    <w:rsid w:val="005D5122"/>
    <w:rsid w:val="005E19B7"/>
    <w:rsid w:val="005E539E"/>
    <w:rsid w:val="00606F84"/>
    <w:rsid w:val="00610B6C"/>
    <w:rsid w:val="00610C26"/>
    <w:rsid w:val="00622DBC"/>
    <w:rsid w:val="0063248E"/>
    <w:rsid w:val="00640F03"/>
    <w:rsid w:val="00653583"/>
    <w:rsid w:val="006557D1"/>
    <w:rsid w:val="00670AC0"/>
    <w:rsid w:val="00675345"/>
    <w:rsid w:val="00683E2D"/>
    <w:rsid w:val="00693970"/>
    <w:rsid w:val="006A062E"/>
    <w:rsid w:val="006C4D54"/>
    <w:rsid w:val="006E54D5"/>
    <w:rsid w:val="006E7302"/>
    <w:rsid w:val="006F2351"/>
    <w:rsid w:val="00705A5B"/>
    <w:rsid w:val="00710025"/>
    <w:rsid w:val="007108DA"/>
    <w:rsid w:val="0071652D"/>
    <w:rsid w:val="00742F43"/>
    <w:rsid w:val="00746138"/>
    <w:rsid w:val="007509E9"/>
    <w:rsid w:val="00751864"/>
    <w:rsid w:val="00761229"/>
    <w:rsid w:val="00761F49"/>
    <w:rsid w:val="00764574"/>
    <w:rsid w:val="007669D5"/>
    <w:rsid w:val="007678E0"/>
    <w:rsid w:val="007740DB"/>
    <w:rsid w:val="00781587"/>
    <w:rsid w:val="00781C40"/>
    <w:rsid w:val="007825A8"/>
    <w:rsid w:val="0078593C"/>
    <w:rsid w:val="00796277"/>
    <w:rsid w:val="007A50DD"/>
    <w:rsid w:val="007B1276"/>
    <w:rsid w:val="007C050C"/>
    <w:rsid w:val="007C4A6D"/>
    <w:rsid w:val="007D00F5"/>
    <w:rsid w:val="007D3182"/>
    <w:rsid w:val="007D5A47"/>
    <w:rsid w:val="007E0A85"/>
    <w:rsid w:val="007E54A4"/>
    <w:rsid w:val="0080482A"/>
    <w:rsid w:val="0080758D"/>
    <w:rsid w:val="008103FE"/>
    <w:rsid w:val="00823A66"/>
    <w:rsid w:val="00831C83"/>
    <w:rsid w:val="00834B9B"/>
    <w:rsid w:val="00853626"/>
    <w:rsid w:val="008552DA"/>
    <w:rsid w:val="00855482"/>
    <w:rsid w:val="00856F51"/>
    <w:rsid w:val="0086004B"/>
    <w:rsid w:val="008667FC"/>
    <w:rsid w:val="00866E01"/>
    <w:rsid w:val="0087133D"/>
    <w:rsid w:val="00871CF4"/>
    <w:rsid w:val="0087668A"/>
    <w:rsid w:val="008838FF"/>
    <w:rsid w:val="00886E73"/>
    <w:rsid w:val="008B2086"/>
    <w:rsid w:val="008B58FC"/>
    <w:rsid w:val="008B61B3"/>
    <w:rsid w:val="008B621A"/>
    <w:rsid w:val="008D6890"/>
    <w:rsid w:val="008E03B8"/>
    <w:rsid w:val="008E5AB7"/>
    <w:rsid w:val="008F0C9E"/>
    <w:rsid w:val="008F3481"/>
    <w:rsid w:val="00900A25"/>
    <w:rsid w:val="00912822"/>
    <w:rsid w:val="009200E9"/>
    <w:rsid w:val="00926D24"/>
    <w:rsid w:val="00932305"/>
    <w:rsid w:val="00932BCE"/>
    <w:rsid w:val="00933B5C"/>
    <w:rsid w:val="00935EE5"/>
    <w:rsid w:val="00941550"/>
    <w:rsid w:val="00946E38"/>
    <w:rsid w:val="00951566"/>
    <w:rsid w:val="00970D14"/>
    <w:rsid w:val="00975C1E"/>
    <w:rsid w:val="0098113C"/>
    <w:rsid w:val="00981A2F"/>
    <w:rsid w:val="00986C93"/>
    <w:rsid w:val="009A03B5"/>
    <w:rsid w:val="009A31B9"/>
    <w:rsid w:val="009B1E02"/>
    <w:rsid w:val="009C1CFB"/>
    <w:rsid w:val="009C5594"/>
    <w:rsid w:val="009E69B5"/>
    <w:rsid w:val="009F3EC6"/>
    <w:rsid w:val="009F4B5F"/>
    <w:rsid w:val="009F5DC3"/>
    <w:rsid w:val="00A0683A"/>
    <w:rsid w:val="00A07216"/>
    <w:rsid w:val="00A22C3E"/>
    <w:rsid w:val="00A2567C"/>
    <w:rsid w:val="00A273BE"/>
    <w:rsid w:val="00A27B10"/>
    <w:rsid w:val="00A310B8"/>
    <w:rsid w:val="00A32EF0"/>
    <w:rsid w:val="00A33894"/>
    <w:rsid w:val="00A4257D"/>
    <w:rsid w:val="00A42F8F"/>
    <w:rsid w:val="00A44CBA"/>
    <w:rsid w:val="00A450B8"/>
    <w:rsid w:val="00A46A97"/>
    <w:rsid w:val="00A5086C"/>
    <w:rsid w:val="00A5429F"/>
    <w:rsid w:val="00A546B6"/>
    <w:rsid w:val="00A7520B"/>
    <w:rsid w:val="00A820D8"/>
    <w:rsid w:val="00A82B8F"/>
    <w:rsid w:val="00A83B55"/>
    <w:rsid w:val="00A83BC6"/>
    <w:rsid w:val="00A84E40"/>
    <w:rsid w:val="00A86B18"/>
    <w:rsid w:val="00A90735"/>
    <w:rsid w:val="00A93F42"/>
    <w:rsid w:val="00A94B62"/>
    <w:rsid w:val="00AA78D2"/>
    <w:rsid w:val="00AB141D"/>
    <w:rsid w:val="00AB629C"/>
    <w:rsid w:val="00AC280F"/>
    <w:rsid w:val="00AC501F"/>
    <w:rsid w:val="00AC6EDB"/>
    <w:rsid w:val="00AC7FCC"/>
    <w:rsid w:val="00AD1BE6"/>
    <w:rsid w:val="00AD538E"/>
    <w:rsid w:val="00AF30E3"/>
    <w:rsid w:val="00B13B0B"/>
    <w:rsid w:val="00B17F65"/>
    <w:rsid w:val="00B230EE"/>
    <w:rsid w:val="00B2404F"/>
    <w:rsid w:val="00B27480"/>
    <w:rsid w:val="00B316DD"/>
    <w:rsid w:val="00B3327B"/>
    <w:rsid w:val="00B35847"/>
    <w:rsid w:val="00B4154B"/>
    <w:rsid w:val="00B41E08"/>
    <w:rsid w:val="00B42471"/>
    <w:rsid w:val="00B479E5"/>
    <w:rsid w:val="00B527E7"/>
    <w:rsid w:val="00B64ABB"/>
    <w:rsid w:val="00B716A6"/>
    <w:rsid w:val="00B71D14"/>
    <w:rsid w:val="00B7774F"/>
    <w:rsid w:val="00B80FCB"/>
    <w:rsid w:val="00B915FF"/>
    <w:rsid w:val="00BA3E7D"/>
    <w:rsid w:val="00BA71CC"/>
    <w:rsid w:val="00BB3173"/>
    <w:rsid w:val="00BB6EDB"/>
    <w:rsid w:val="00BD425F"/>
    <w:rsid w:val="00BD5CBE"/>
    <w:rsid w:val="00BE2911"/>
    <w:rsid w:val="00BE3539"/>
    <w:rsid w:val="00BE5F05"/>
    <w:rsid w:val="00BE6241"/>
    <w:rsid w:val="00BF022D"/>
    <w:rsid w:val="00BF4D40"/>
    <w:rsid w:val="00C012F2"/>
    <w:rsid w:val="00C038D4"/>
    <w:rsid w:val="00C06573"/>
    <w:rsid w:val="00C11EDF"/>
    <w:rsid w:val="00C1400A"/>
    <w:rsid w:val="00C21349"/>
    <w:rsid w:val="00C26923"/>
    <w:rsid w:val="00C27C7B"/>
    <w:rsid w:val="00C509F8"/>
    <w:rsid w:val="00C634B7"/>
    <w:rsid w:val="00C64E30"/>
    <w:rsid w:val="00C67FAE"/>
    <w:rsid w:val="00C725C5"/>
    <w:rsid w:val="00C83EA2"/>
    <w:rsid w:val="00C87C85"/>
    <w:rsid w:val="00C94704"/>
    <w:rsid w:val="00C963B2"/>
    <w:rsid w:val="00C96E6E"/>
    <w:rsid w:val="00CA45D3"/>
    <w:rsid w:val="00CB0653"/>
    <w:rsid w:val="00CB205A"/>
    <w:rsid w:val="00CB69BD"/>
    <w:rsid w:val="00CC0A7C"/>
    <w:rsid w:val="00CC4B84"/>
    <w:rsid w:val="00CC519C"/>
    <w:rsid w:val="00CD3DAA"/>
    <w:rsid w:val="00CD5BFA"/>
    <w:rsid w:val="00CF3C49"/>
    <w:rsid w:val="00CF5235"/>
    <w:rsid w:val="00D05C21"/>
    <w:rsid w:val="00D07D4D"/>
    <w:rsid w:val="00D133C7"/>
    <w:rsid w:val="00D259E2"/>
    <w:rsid w:val="00D301A8"/>
    <w:rsid w:val="00D3304D"/>
    <w:rsid w:val="00D36B10"/>
    <w:rsid w:val="00D42674"/>
    <w:rsid w:val="00D457FF"/>
    <w:rsid w:val="00D62760"/>
    <w:rsid w:val="00D66CF0"/>
    <w:rsid w:val="00D83448"/>
    <w:rsid w:val="00D84FA9"/>
    <w:rsid w:val="00D8742A"/>
    <w:rsid w:val="00D92A03"/>
    <w:rsid w:val="00DB230A"/>
    <w:rsid w:val="00DC291F"/>
    <w:rsid w:val="00DC353F"/>
    <w:rsid w:val="00DE6356"/>
    <w:rsid w:val="00E042C1"/>
    <w:rsid w:val="00E052BB"/>
    <w:rsid w:val="00E06874"/>
    <w:rsid w:val="00E156C4"/>
    <w:rsid w:val="00E242D5"/>
    <w:rsid w:val="00E24932"/>
    <w:rsid w:val="00E265B9"/>
    <w:rsid w:val="00E30BE0"/>
    <w:rsid w:val="00E37926"/>
    <w:rsid w:val="00E437F5"/>
    <w:rsid w:val="00E451F3"/>
    <w:rsid w:val="00E471D6"/>
    <w:rsid w:val="00E54908"/>
    <w:rsid w:val="00E57ACA"/>
    <w:rsid w:val="00E60CC2"/>
    <w:rsid w:val="00E625B0"/>
    <w:rsid w:val="00E71A0D"/>
    <w:rsid w:val="00E735D6"/>
    <w:rsid w:val="00E73E30"/>
    <w:rsid w:val="00E86B0A"/>
    <w:rsid w:val="00E93BC9"/>
    <w:rsid w:val="00E957EC"/>
    <w:rsid w:val="00E965DA"/>
    <w:rsid w:val="00EA5828"/>
    <w:rsid w:val="00EA7D9A"/>
    <w:rsid w:val="00EB3F15"/>
    <w:rsid w:val="00EB5B32"/>
    <w:rsid w:val="00ED27B9"/>
    <w:rsid w:val="00ED6DFA"/>
    <w:rsid w:val="00EF6E5B"/>
    <w:rsid w:val="00EF7398"/>
    <w:rsid w:val="00F03D87"/>
    <w:rsid w:val="00F041BB"/>
    <w:rsid w:val="00F05B67"/>
    <w:rsid w:val="00F06D96"/>
    <w:rsid w:val="00F100B1"/>
    <w:rsid w:val="00F12F8F"/>
    <w:rsid w:val="00F14025"/>
    <w:rsid w:val="00F26BC6"/>
    <w:rsid w:val="00F33AE1"/>
    <w:rsid w:val="00F420C5"/>
    <w:rsid w:val="00F73E3C"/>
    <w:rsid w:val="00F82C9D"/>
    <w:rsid w:val="00F87645"/>
    <w:rsid w:val="00F90454"/>
    <w:rsid w:val="00F9733E"/>
    <w:rsid w:val="00FA3C85"/>
    <w:rsid w:val="00FA6B03"/>
    <w:rsid w:val="00FB7257"/>
    <w:rsid w:val="00FC26B3"/>
    <w:rsid w:val="00FD65BF"/>
    <w:rsid w:val="00FD6798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CE45A2"/>
  <w15:docId w15:val="{6BBDBE07-798D-4E47-82FD-73A734BF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E3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styleId="4">
    <w:name w:val="heading 4"/>
    <w:basedOn w:val="a"/>
    <w:link w:val="40"/>
    <w:uiPriority w:val="99"/>
    <w:qFormat/>
    <w:rsid w:val="00C64E30"/>
    <w:pPr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C64E30"/>
    <w:pPr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AB629C"/>
    <w:rPr>
      <w:rFonts w:ascii="Calibri" w:hAnsi="Calibri" w:cs="Calibri"/>
      <w:b/>
      <w:bCs/>
      <w:color w:val="000000"/>
      <w:sz w:val="28"/>
      <w:szCs w:val="28"/>
      <w:u w:color="00000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B629C"/>
    <w:rPr>
      <w:rFonts w:ascii="Calibri" w:hAnsi="Calibri" w:cs="Calibri"/>
      <w:b/>
      <w:bCs/>
      <w:i/>
      <w:iCs/>
      <w:color w:val="000000"/>
      <w:sz w:val="26"/>
      <w:szCs w:val="26"/>
      <w:u w:color="000000"/>
    </w:rPr>
  </w:style>
  <w:style w:type="character" w:styleId="a3">
    <w:name w:val="Hyperlink"/>
    <w:basedOn w:val="a0"/>
    <w:uiPriority w:val="99"/>
    <w:rsid w:val="00C64E30"/>
    <w:rPr>
      <w:u w:val="single"/>
    </w:rPr>
  </w:style>
  <w:style w:type="table" w:customStyle="1" w:styleId="TableNormal1">
    <w:name w:val="Table Normal1"/>
    <w:uiPriority w:val="99"/>
    <w:rsid w:val="00C64E3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rsid w:val="00C64E3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B629C"/>
    <w:rPr>
      <w:rFonts w:ascii="Calibri" w:hAnsi="Calibri" w:cs="Calibri"/>
      <w:color w:val="000000"/>
      <w:u w:color="000000"/>
    </w:rPr>
  </w:style>
  <w:style w:type="paragraph" w:customStyle="1" w:styleId="a6">
    <w:name w:val="Колонтитулы"/>
    <w:uiPriority w:val="99"/>
    <w:rsid w:val="00C64E3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customStyle="1" w:styleId="A7">
    <w:name w:val="Текстовый блок A"/>
    <w:uiPriority w:val="99"/>
    <w:rsid w:val="00C64E3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u w:color="000000"/>
    </w:rPr>
  </w:style>
  <w:style w:type="paragraph" w:customStyle="1" w:styleId="a8">
    <w:name w:val="Текстовый блок"/>
    <w:uiPriority w:val="99"/>
    <w:rsid w:val="00C64E3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4"/>
      <w:szCs w:val="24"/>
      <w:u w:color="000000"/>
    </w:rPr>
  </w:style>
  <w:style w:type="paragraph" w:customStyle="1" w:styleId="a9">
    <w:name w:val="По умолчанию"/>
    <w:uiPriority w:val="99"/>
    <w:rsid w:val="00C64E3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u w:color="000000"/>
    </w:rPr>
  </w:style>
  <w:style w:type="paragraph" w:styleId="aa">
    <w:name w:val="Balloon Text"/>
    <w:basedOn w:val="a"/>
    <w:link w:val="ab"/>
    <w:uiPriority w:val="99"/>
    <w:semiHidden/>
    <w:rsid w:val="007C4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C4A6D"/>
    <w:rPr>
      <w:rFonts w:ascii="Segoe UI" w:hAnsi="Segoe UI" w:cs="Segoe UI"/>
      <w:color w:val="000000"/>
      <w:sz w:val="18"/>
      <w:szCs w:val="18"/>
      <w:u w:color="000000"/>
    </w:rPr>
  </w:style>
  <w:style w:type="paragraph" w:styleId="ac">
    <w:name w:val="List Paragraph"/>
    <w:basedOn w:val="a"/>
    <w:uiPriority w:val="99"/>
    <w:qFormat/>
    <w:rsid w:val="00761F49"/>
    <w:pPr>
      <w:ind w:left="720"/>
    </w:pPr>
  </w:style>
  <w:style w:type="paragraph" w:customStyle="1" w:styleId="ad">
    <w:name w:val="Обычный + Черный"/>
    <w:aliases w:val="По ширине,Междустр.интервал:  множитель 0,9 ин"/>
    <w:basedOn w:val="a"/>
    <w:uiPriority w:val="99"/>
    <w:rsid w:val="00933B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16" w:lineRule="auto"/>
      <w:jc w:val="both"/>
    </w:pPr>
    <w:rPr>
      <w:sz w:val="28"/>
      <w:szCs w:val="28"/>
    </w:rPr>
  </w:style>
  <w:style w:type="paragraph" w:customStyle="1" w:styleId="1">
    <w:name w:val="Абзац списка1"/>
    <w:basedOn w:val="a"/>
    <w:uiPriority w:val="99"/>
    <w:rsid w:val="005940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0" w:line="240" w:lineRule="auto"/>
      <w:ind w:left="708" w:right="96"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e">
    <w:name w:val="Нет"/>
    <w:uiPriority w:val="99"/>
    <w:rsid w:val="00A450B8"/>
  </w:style>
  <w:style w:type="paragraph" w:customStyle="1" w:styleId="msonormalmailrucssattributepostfix">
    <w:name w:val="msonormal_mailru_css_attribute_postfix"/>
    <w:basedOn w:val="a"/>
    <w:uiPriority w:val="99"/>
    <w:rsid w:val="001B06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7669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Arial" w:hAnsi="Arial" w:cs="Arial"/>
      <w:color w:val="auto"/>
      <w:sz w:val="24"/>
      <w:szCs w:val="24"/>
    </w:rPr>
  </w:style>
  <w:style w:type="numbering" w:customStyle="1" w:styleId="3">
    <w:name w:val="Импортированный стиль 3"/>
    <w:rsid w:val="00EB500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8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36</Pages>
  <Words>11962</Words>
  <Characters>68186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реализации государственной программы Ульяновской области «Развитие и модернизация образования в Ульяновской области»</vt:lpstr>
    </vt:vector>
  </TitlesOfParts>
  <Company>Ульяновский ИПК ПРО</Company>
  <LinksUpToDate>false</LinksUpToDate>
  <CharactersWithSpaces>79989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государственной программы Ульяновской области «Развитие и модернизация образования в Ульяновской области»</dc:title>
  <dc:subject/>
  <dc:creator>Камендровская</dc:creator>
  <cp:keywords/>
  <dc:description/>
  <cp:lastModifiedBy>Пользователь Windows</cp:lastModifiedBy>
  <cp:revision>12</cp:revision>
  <cp:lastPrinted>2018-01-31T07:23:00Z</cp:lastPrinted>
  <dcterms:created xsi:type="dcterms:W3CDTF">2018-01-31T06:17:00Z</dcterms:created>
  <dcterms:modified xsi:type="dcterms:W3CDTF">2018-01-31T07:37:00Z</dcterms:modified>
</cp:coreProperties>
</file>